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media/image1.wmf" ContentType="image/x-wmf"/>
  <Override PartName="/word/media/image9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media/image5.wmf" ContentType="image/x-wmf"/>
  <Override PartName="/word/media/image6.wmf" ContentType="image/x-wmf"/>
  <Override PartName="/word/media/image7.wmf" ContentType="image/x-wmf"/>
  <Override PartName="/word/media/image8.wmf" ContentType="image/x-wmf"/>
  <Override PartName="/word/media/image10.wmf" ContentType="image/x-wmf"/>
  <Override PartName="/word/media/image11.wmf" ContentType="image/x-wmf"/>
  <Override PartName="/word/media/image12.wmf" ContentType="image/x-wmf"/>
  <Override PartName="/word/media/image13.wmf" ContentType="image/x-wmf"/>
  <Override PartName="/word/media/image14.wmf" ContentType="image/x-wmf"/>
  <Override PartName="/word/media/image15.wmf" ContentType="image/x-wmf"/>
  <Override PartName="/word/media/image16.wmf" ContentType="image/x-wmf"/>
  <Override PartName="/word/media/image17.wmf" ContentType="image/x-wmf"/>
  <Override PartName="/word/media/image18.wmf" ContentType="image/x-wmf"/>
  <Override PartName="/word/media/image19.wmf" ContentType="image/x-wmf"/>
  <Override PartName="/word/media/image20.wmf" ContentType="image/x-wmf"/>
  <Override PartName="/word/media/image21.wmf" ContentType="image/x-wmf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5670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28"/>
        </w:rPr>
        <w:t xml:space="preserve">АДМИНИСТРАЦИЯ  </w:t>
      </w:r>
      <w:r>
        <w:rPr>
          <w:rFonts w:eastAsia="Times New Roman" w:cs="Times New Roman" w:ascii="Times New Roman" w:hAnsi="Times New Roman"/>
          <w:b/>
          <w:color w:val="auto"/>
          <w:sz w:val="28"/>
          <w:szCs w:val="20"/>
          <w:lang w:val="ru-RU" w:eastAsia="zh-CN" w:bidi="ar-SA"/>
        </w:rPr>
        <w:t xml:space="preserve">КИРПИЛЬСКОГО  </w:t>
      </w:r>
      <w:r>
        <w:rPr>
          <w:rFonts w:ascii="Times New Roman" w:hAnsi="Times New Roman"/>
          <w:b/>
          <w:sz w:val="28"/>
        </w:rPr>
        <w:t xml:space="preserve">СЕЛЬСКОГО ПОСЕЛЕНИЯ УСТЬ-ЛАБИНСКОГО РАЙОНА </w:t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sz w:val="36"/>
        </w:rPr>
        <w:t>П О С Т А Н О В Л Е Н И Е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4"/>
          <w:szCs w:val="24"/>
        </w:rPr>
        <w:t xml:space="preserve">от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24.12.</w:t>
      </w:r>
      <w:r>
        <w:rPr>
          <w:sz w:val="24"/>
          <w:szCs w:val="24"/>
        </w:rPr>
        <w:t xml:space="preserve"> 20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19</w:t>
      </w:r>
      <w:r>
        <w:rPr>
          <w:sz w:val="24"/>
          <w:szCs w:val="24"/>
        </w:rPr>
        <w:t xml:space="preserve"> года</w:t>
        <w:tab/>
        <w:tab/>
        <w:tab/>
        <w:t xml:space="preserve">                                                             №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17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9</w:t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left="2891" w:right="0" w:hanging="3628"/>
        <w:jc w:val="center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ст.Кирпильская</w:t>
      </w:r>
    </w:p>
    <w:p>
      <w:pPr>
        <w:pStyle w:val="Normal"/>
        <w:spacing w:lineRule="auto" w:line="240" w:before="0" w:after="0"/>
        <w:ind w:left="5670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670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4"/>
        <w:shd w:val="clear" w:fill="FFFFFF"/>
        <w:spacing w:lineRule="auto" w:line="240" w:before="0" w:after="240"/>
        <w:ind w:left="0" w:right="27" w:hanging="0"/>
        <w:jc w:val="center"/>
        <w:rPr/>
      </w:pPr>
      <w:r>
        <w:rPr>
          <w:rFonts w:cs="Arial" w:ascii="Times New Roman" w:hAnsi="Times New Roman"/>
          <w:b/>
          <w:sz w:val="28"/>
          <w:szCs w:val="28"/>
        </w:rPr>
        <w:t>О Порядке проведения мониторинга качества финансового менеджмента осуществляемого главны</w:t>
      </w:r>
      <w:r>
        <w:rPr>
          <w:rFonts w:eastAsia="Times New Roman" w:cs="Arial" w:ascii="Times New Roman" w:hAnsi="Times New Roman"/>
          <w:b/>
          <w:color w:val="auto"/>
          <w:kern w:val="0"/>
          <w:sz w:val="28"/>
          <w:szCs w:val="28"/>
          <w:lang w:val="ru-RU" w:eastAsia="ru-RU" w:bidi="ar-SA"/>
        </w:rPr>
        <w:t>ми</w:t>
      </w:r>
      <w:r>
        <w:rPr>
          <w:rFonts w:cs="Arial" w:ascii="Times New Roman" w:hAnsi="Times New Roman"/>
          <w:b/>
          <w:sz w:val="28"/>
          <w:szCs w:val="28"/>
        </w:rPr>
        <w:t xml:space="preserve"> распорядител</w:t>
      </w:r>
      <w:r>
        <w:rPr>
          <w:rFonts w:eastAsia="Times New Roman" w:cs="Arial" w:ascii="Times New Roman" w:hAnsi="Times New Roman"/>
          <w:b/>
          <w:color w:val="auto"/>
          <w:kern w:val="0"/>
          <w:sz w:val="28"/>
          <w:szCs w:val="28"/>
          <w:lang w:val="ru-RU" w:eastAsia="ru-RU" w:bidi="ar-SA"/>
        </w:rPr>
        <w:t xml:space="preserve">ями </w:t>
      </w:r>
      <w:r>
        <w:rPr>
          <w:rFonts w:cs="Arial" w:ascii="Times New Roman" w:hAnsi="Times New Roman"/>
          <w:b/>
          <w:sz w:val="28"/>
          <w:szCs w:val="28"/>
        </w:rPr>
        <w:t>бюджетных средств  муниципально</w:t>
      </w:r>
      <w:r>
        <w:rPr>
          <w:rFonts w:eastAsia="Times New Roman" w:cs="Arial" w:ascii="Times New Roman" w:hAnsi="Times New Roman"/>
          <w:b/>
          <w:color w:val="auto"/>
          <w:kern w:val="0"/>
          <w:sz w:val="28"/>
          <w:szCs w:val="28"/>
          <w:lang w:val="ru-RU" w:eastAsia="ru-RU" w:bidi="ar-SA"/>
        </w:rPr>
        <w:t xml:space="preserve">го </w:t>
      </w:r>
      <w:r>
        <w:rPr>
          <w:rFonts w:cs="Arial" w:ascii="Times New Roman" w:hAnsi="Times New Roman"/>
          <w:b/>
          <w:sz w:val="28"/>
          <w:szCs w:val="28"/>
        </w:rPr>
        <w:t xml:space="preserve"> образовани</w:t>
      </w:r>
      <w:r>
        <w:rPr>
          <w:rFonts w:eastAsia="Times New Roman" w:cs="Arial" w:ascii="Times New Roman" w:hAnsi="Times New Roman"/>
          <w:b/>
          <w:color w:val="auto"/>
          <w:kern w:val="0"/>
          <w:sz w:val="28"/>
          <w:szCs w:val="28"/>
          <w:lang w:val="ru-RU" w:eastAsia="ru-RU" w:bidi="ar-SA"/>
        </w:rPr>
        <w:t xml:space="preserve">я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8"/>
          <w:szCs w:val="28"/>
          <w:lang w:val="ru-RU" w:eastAsia="ru-RU" w:bidi="ar-SA"/>
        </w:rPr>
        <w:t>Кирпильское сельское поселение Усть-Лабинского района</w:t>
      </w:r>
    </w:p>
    <w:p>
      <w:pPr>
        <w:pStyle w:val="Normal"/>
        <w:spacing w:lineRule="auto" w:line="240" w:before="0" w:after="0"/>
        <w:ind w:left="5670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tabs>
          <w:tab w:val="clear" w:pos="708"/>
          <w:tab w:val="left" w:pos="120" w:leader="none"/>
        </w:tabs>
        <w:suppressAutoHyphens w:val="false"/>
        <w:bidi w:val="0"/>
        <w:spacing w:lineRule="auto" w:line="240" w:before="0" w:after="0"/>
        <w:ind w:left="-283" w:right="283" w:firstLine="1191"/>
        <w:jc w:val="both"/>
        <w:rPr/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8"/>
          <w:szCs w:val="28"/>
        </w:rPr>
        <w:t xml:space="preserve"> целях реализации подпункта 2 пункта 6 статьи 160.2-1 Бюджетного   </w:t>
      </w:r>
    </w:p>
    <w:p>
      <w:pPr>
        <w:pStyle w:val="Normal"/>
        <w:widowControl/>
        <w:tabs>
          <w:tab w:val="clear" w:pos="708"/>
          <w:tab w:val="left" w:pos="120" w:leader="none"/>
        </w:tabs>
        <w:suppressAutoHyphens w:val="false"/>
        <w:bidi w:val="0"/>
        <w:spacing w:lineRule="auto" w:line="240" w:before="0" w:after="0"/>
        <w:ind w:left="-283" w:right="283" w:firstLine="113"/>
        <w:jc w:val="both"/>
        <w:rPr/>
      </w:pPr>
      <w:r>
        <w:rPr>
          <w:rFonts w:ascii="Times New Roman" w:hAnsi="Times New Roman"/>
          <w:sz w:val="28"/>
          <w:szCs w:val="28"/>
        </w:rPr>
        <w:t xml:space="preserve">кодекса Российской Федерации и в целях повышения эффективности расходов,   качества бюджетного планирования и управления средствами бюджета </w:t>
      </w:r>
      <w:bookmarkStart w:id="0" w:name="__DdeLink__107833_1119647213"/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Кирпильское сельское поселение Усть-Лабинского района</w:t>
      </w:r>
      <w:bookmarkEnd w:id="0"/>
      <w:r>
        <w:rPr>
          <w:rFonts w:ascii="Times New Roman" w:hAnsi="Times New Roman"/>
          <w:sz w:val="28"/>
          <w:szCs w:val="28"/>
        </w:rPr>
        <w:t xml:space="preserve">, </w:t>
      </w:r>
    </w:p>
    <w:p>
      <w:pPr>
        <w:pStyle w:val="Normal"/>
        <w:widowControl/>
        <w:tabs>
          <w:tab w:val="clear" w:pos="708"/>
          <w:tab w:val="left" w:pos="120" w:leader="none"/>
        </w:tabs>
        <w:suppressAutoHyphens w:val="false"/>
        <w:bidi w:val="0"/>
        <w:spacing w:lineRule="auto" w:line="240" w:before="0" w:after="0"/>
        <w:ind w:left="-283" w:right="283" w:firstLine="1191"/>
        <w:jc w:val="both"/>
        <w:rPr/>
      </w:pPr>
      <w:r>
        <w:rPr>
          <w:rFonts w:ascii="Times New Roman" w:hAnsi="Times New Roman"/>
          <w:sz w:val="28"/>
          <w:szCs w:val="28"/>
        </w:rPr>
        <w:t xml:space="preserve">ПОСТАНОВЛЯЮ: </w:t>
      </w:r>
    </w:p>
    <w:p>
      <w:pPr>
        <w:pStyle w:val="Normal"/>
        <w:widowControl/>
        <w:tabs>
          <w:tab w:val="clear" w:pos="708"/>
          <w:tab w:val="left" w:pos="120" w:leader="none"/>
        </w:tabs>
        <w:suppressAutoHyphens w:val="false"/>
        <w:bidi w:val="0"/>
        <w:spacing w:lineRule="auto" w:line="240" w:before="0" w:after="0"/>
        <w:ind w:left="-283" w:right="283" w:firstLine="1191"/>
        <w:jc w:val="both"/>
        <w:rPr/>
      </w:pPr>
      <w:r>
        <w:rPr>
          <w:rFonts w:ascii="Times New Roman" w:hAnsi="Times New Roman"/>
          <w:sz w:val="28"/>
          <w:szCs w:val="28"/>
        </w:rPr>
        <w:t xml:space="preserve">1. Утвердить Порядок проведения мониторинга качества финансового менеджмента, осуществляемого главными распорядителями средств бюджета муниципального образования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Кирпильское сельское поселение Усть-Лабинского района</w:t>
      </w:r>
      <w:r>
        <w:rPr>
          <w:rFonts w:ascii="Times New Roman" w:hAnsi="Times New Roman"/>
          <w:sz w:val="28"/>
          <w:szCs w:val="28"/>
        </w:rPr>
        <w:t xml:space="preserve">, согласно приложению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№</w:t>
      </w:r>
      <w:r>
        <w:rPr>
          <w:rFonts w:ascii="Times New Roman" w:hAnsi="Times New Roman"/>
          <w:sz w:val="28"/>
          <w:szCs w:val="28"/>
        </w:rPr>
        <w:t xml:space="preserve">1 к настоящему постановлению. </w:t>
      </w:r>
    </w:p>
    <w:p>
      <w:pPr>
        <w:pStyle w:val="Normal"/>
        <w:widowControl/>
        <w:tabs>
          <w:tab w:val="clear" w:pos="708"/>
          <w:tab w:val="left" w:pos="120" w:leader="none"/>
        </w:tabs>
        <w:suppressAutoHyphens w:val="false"/>
        <w:bidi w:val="0"/>
        <w:spacing w:lineRule="auto" w:line="240" w:before="0" w:after="0"/>
        <w:ind w:left="-283" w:right="283" w:firstLine="1191"/>
        <w:jc w:val="both"/>
        <w:rPr/>
      </w:pPr>
      <w:r>
        <w:rPr>
          <w:rFonts w:ascii="Times New Roman" w:hAnsi="Times New Roman"/>
          <w:sz w:val="28"/>
          <w:szCs w:val="28"/>
        </w:rPr>
        <w:t>2. Общему отделу администрации Кирпильского сельского поселения Усть-Лабинского района (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zh-CN" w:bidi="ar-SA"/>
        </w:rPr>
        <w:t>Гаркушова</w:t>
      </w:r>
      <w:r>
        <w:rPr>
          <w:rFonts w:ascii="Times New Roman" w:hAnsi="Times New Roman"/>
          <w:sz w:val="28"/>
          <w:szCs w:val="28"/>
        </w:rPr>
        <w:t>) обнародовать настоящее постановление в установленном порядке и разместить на официальном сайте администрации Кирпильского сельского поселения Усть-Лабинского района в информационно-телекоммуникационной сети «Интернет».</w:t>
      </w:r>
    </w:p>
    <w:p>
      <w:pPr>
        <w:pStyle w:val="Normal"/>
        <w:widowControl/>
        <w:tabs>
          <w:tab w:val="clear" w:pos="708"/>
          <w:tab w:val="left" w:pos="120" w:leader="none"/>
        </w:tabs>
        <w:suppressAutoHyphens w:val="false"/>
        <w:bidi w:val="0"/>
        <w:spacing w:lineRule="auto" w:line="240" w:before="0" w:after="0"/>
        <w:ind w:left="-283" w:right="283" w:firstLine="1191"/>
        <w:jc w:val="both"/>
        <w:rPr/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со дня подписания и распространяет свое действие на правоотношения возникшие с 01.01.2020 года.</w:t>
      </w:r>
    </w:p>
    <w:p>
      <w:pPr>
        <w:pStyle w:val="Normal"/>
        <w:widowControl/>
        <w:tabs>
          <w:tab w:val="clear" w:pos="708"/>
          <w:tab w:val="left" w:pos="120" w:leader="none"/>
        </w:tabs>
        <w:suppressAutoHyphens w:val="false"/>
        <w:bidi w:val="0"/>
        <w:spacing w:lineRule="auto" w:line="240" w:before="0" w:after="0"/>
        <w:ind w:left="-283" w:right="283" w:firstLine="1191"/>
        <w:jc w:val="both"/>
        <w:rPr/>
      </w:pPr>
      <w:r>
        <w:rPr>
          <w:rFonts w:ascii="Times New Roman" w:hAnsi="Times New Roman"/>
          <w:sz w:val="28"/>
          <w:szCs w:val="28"/>
        </w:rPr>
        <w:t>4. Контроль за исполнением настоящего постановления     возложить    на    глав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  <w:t xml:space="preserve">у </w:t>
      </w:r>
      <w:r>
        <w:rPr>
          <w:rFonts w:ascii="Times New Roman" w:hAnsi="Times New Roman"/>
          <w:sz w:val="28"/>
          <w:szCs w:val="28"/>
        </w:rPr>
        <w:t xml:space="preserve">Кирпильского сельского поселения Усть-Лабинского района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  <w:t>С.А.Запорожского.</w:t>
      </w:r>
    </w:p>
    <w:p>
      <w:pPr>
        <w:pStyle w:val="Normal"/>
        <w:widowControl/>
        <w:tabs>
          <w:tab w:val="clear" w:pos="708"/>
          <w:tab w:val="left" w:pos="120" w:leader="none"/>
        </w:tabs>
        <w:suppressAutoHyphens w:val="false"/>
        <w:bidi w:val="0"/>
        <w:spacing w:lineRule="auto" w:line="240" w:before="0" w:after="0"/>
        <w:ind w:left="-283" w:right="283" w:firstLine="1191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</w:r>
    </w:p>
    <w:p>
      <w:pPr>
        <w:pStyle w:val="Normal"/>
        <w:widowControl/>
        <w:tabs>
          <w:tab w:val="clear" w:pos="708"/>
          <w:tab w:val="left" w:pos="120" w:leader="none"/>
        </w:tabs>
        <w:suppressAutoHyphens w:val="false"/>
        <w:bidi w:val="0"/>
        <w:spacing w:lineRule="auto" w:line="240" w:before="0" w:after="0"/>
        <w:ind w:left="-283" w:right="283" w:firstLine="1191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</w:r>
    </w:p>
    <w:p>
      <w:pPr>
        <w:pStyle w:val="Normal"/>
        <w:widowControl/>
        <w:tabs>
          <w:tab w:val="clear" w:pos="708"/>
          <w:tab w:val="left" w:pos="120" w:leader="none"/>
        </w:tabs>
        <w:suppressAutoHyphens w:val="false"/>
        <w:bidi w:val="0"/>
        <w:spacing w:lineRule="auto" w:line="240" w:before="0" w:after="0"/>
        <w:ind w:left="-283" w:right="283" w:firstLine="1191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</w:r>
    </w:p>
    <w:p>
      <w:pPr>
        <w:pStyle w:val="Normal"/>
        <w:widowControl/>
        <w:tabs>
          <w:tab w:val="clear" w:pos="708"/>
          <w:tab w:val="left" w:pos="120" w:leader="none"/>
        </w:tabs>
        <w:suppressAutoHyphens w:val="false"/>
        <w:bidi w:val="0"/>
        <w:spacing w:lineRule="auto" w:line="240" w:before="0" w:after="0"/>
        <w:ind w:left="-283" w:right="283" w:firstLine="1191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</w:r>
    </w:p>
    <w:p>
      <w:pPr>
        <w:pStyle w:val="Normal"/>
        <w:widowControl/>
        <w:tabs>
          <w:tab w:val="clear" w:pos="708"/>
          <w:tab w:val="left" w:pos="120" w:leader="none"/>
        </w:tabs>
        <w:suppressAutoHyphens w:val="false"/>
        <w:bidi w:val="0"/>
        <w:spacing w:lineRule="auto" w:line="240" w:before="0" w:after="0"/>
        <w:ind w:left="-283" w:right="283" w:firstLine="1191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  <w:t xml:space="preserve">Глава Кирпильского сельского поселения </w:t>
      </w:r>
    </w:p>
    <w:p>
      <w:pPr>
        <w:pStyle w:val="Normal"/>
        <w:widowControl/>
        <w:tabs>
          <w:tab w:val="clear" w:pos="708"/>
          <w:tab w:val="left" w:pos="120" w:leader="none"/>
        </w:tabs>
        <w:suppressAutoHyphens w:val="false"/>
        <w:bidi w:val="0"/>
        <w:spacing w:lineRule="auto" w:line="240" w:before="0" w:after="0"/>
        <w:ind w:left="-283" w:right="283" w:firstLine="1191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  <w:t>Усть-Лабинского района                                         С.А.Запорожский</w:t>
      </w:r>
    </w:p>
    <w:p>
      <w:pPr>
        <w:pStyle w:val="Normal"/>
        <w:widowControl/>
        <w:tabs>
          <w:tab w:val="clear" w:pos="708"/>
          <w:tab w:val="left" w:pos="120" w:leader="none"/>
        </w:tabs>
        <w:suppressAutoHyphens w:val="false"/>
        <w:bidi w:val="0"/>
        <w:spacing w:lineRule="auto" w:line="240" w:before="0" w:after="0"/>
        <w:ind w:left="-283" w:right="283" w:firstLine="1191"/>
        <w:jc w:val="both"/>
        <w:rPr/>
      </w:pPr>
      <w:r>
        <w:rPr/>
      </w:r>
    </w:p>
    <w:p>
      <w:pPr>
        <w:pStyle w:val="Normal"/>
        <w:spacing w:lineRule="auto" w:line="240" w:before="0" w:after="0"/>
        <w:ind w:left="5670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670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670" w:hanging="0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к</w:t>
      </w:r>
    </w:p>
    <w:p>
      <w:pPr>
        <w:pStyle w:val="Normal"/>
        <w:spacing w:lineRule="auto" w:line="240" w:before="0" w:after="0"/>
        <w:ind w:left="5670" w:hanging="0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постановлению администрации </w:t>
      </w:r>
    </w:p>
    <w:p>
      <w:pPr>
        <w:pStyle w:val="Normal"/>
        <w:spacing w:lineRule="auto" w:line="240" w:before="0" w:after="0"/>
        <w:ind w:left="5670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widowControl/>
        <w:suppressAutoHyphens w:val="false"/>
        <w:bidi w:val="0"/>
        <w:spacing w:lineRule="auto" w:line="240" w:before="0" w:after="0"/>
        <w:ind w:left="5329" w:right="0" w:hanging="0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Кирпильское сельское поселение Усть-Лабинского района</w:t>
      </w:r>
    </w:p>
    <w:p>
      <w:pPr>
        <w:pStyle w:val="Normal"/>
        <w:spacing w:lineRule="auto" w:line="240" w:before="0" w:after="0"/>
        <w:ind w:left="5670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/>
      </w:pPr>
      <w:r>
        <w:rPr>
          <w:rFonts w:ascii="Times New Roman" w:hAnsi="Times New Roman"/>
          <w:sz w:val="28"/>
          <w:szCs w:val="28"/>
        </w:rPr>
        <w:t>от 2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4</w:t>
      </w:r>
      <w:r>
        <w:rPr>
          <w:rFonts w:ascii="Times New Roman" w:hAnsi="Times New Roman"/>
          <w:sz w:val="28"/>
          <w:szCs w:val="28"/>
        </w:rPr>
        <w:t>.1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2.2019г. № 17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9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проведения мониторинга качества финансового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менеджмента, осуществляемого главными распорядителями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средств бюджета муниципального образования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>Кирпильское сельское поселение Усть-Лабинского района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spacing w:lineRule="auto" w:line="240" w:before="0" w:after="0"/>
        <w:ind w:lef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положения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Настоящий Порядок определяет процедуру и сроки проведения мониторинга качества финансового менеджмента, осуществляемого главными распорядителями средств бюджета муниципального образования Кирпильское сельское поселение  Усть-Лабинского района ( далее муниципальное образование Кирпильское сельское поселение),  (далее – мониторинг), как анализ и оценку совокупности процессов и процедур, обеспечивающих эффективность и результативность составления и исполнения бюджета, составления бюджетной отчётности и ведения бюджетного учёта, а также подготовку и организацию осуществления мер, направленных на повышение результативности (эффективности и экономности) использования бюджетных средств.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проводится с целью: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определения уровня качества финансового менеджмента, осуществляемого главными распорядителями средств бюджета муниципального образования Кирпильское сельское поселение  (далее – главные распорядители);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анализа изменений качества финансового менеджмента главных распорядителей;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определения областей финансового менеджмента главных распорядителей, требующих совершенствования;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стимулирования деятельности главных распорядителей по повышению качества финансового менеджмента главных распорядителей.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Мониторингу подлежат все главные распорядители, осуществлявшие деятельность по планированию и исполнению бюджета муниципального образования Кирпильское сельское поселение  в отчётном финансовом году в течение не менее чем 9 месяцев.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Мониторинг проводится финансовым отделом администрации Кирпильско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го</w:t>
      </w:r>
      <w:r>
        <w:rPr>
          <w:rFonts w:ascii="Times New Roman" w:hAnsi="Times New Roman"/>
          <w:sz w:val="28"/>
          <w:szCs w:val="28"/>
        </w:rPr>
        <w:t xml:space="preserve"> сельско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го </w:t>
      </w:r>
      <w:r>
        <w:rPr>
          <w:rFonts w:ascii="Times New Roman" w:hAnsi="Times New Roman"/>
          <w:sz w:val="28"/>
          <w:szCs w:val="28"/>
        </w:rPr>
        <w:t xml:space="preserve"> поселени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я </w:t>
      </w:r>
      <w:r>
        <w:rPr>
          <w:rFonts w:ascii="Times New Roman" w:hAnsi="Times New Roman"/>
          <w:sz w:val="28"/>
          <w:szCs w:val="28"/>
        </w:rPr>
        <w:t xml:space="preserve"> (далее – финансовый отдел).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Мониторинг состоит из ежеквартального и годового мониторинг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а</w:t>
      </w:r>
      <w:r>
        <w:rPr>
          <w:rFonts w:ascii="Times New Roman" w:hAnsi="Times New Roman"/>
          <w:sz w:val="28"/>
          <w:szCs w:val="28"/>
        </w:rPr>
        <w:t xml:space="preserve"> и проводится по следующим направлениям: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финансовое планирование;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программно-целевое планирование;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исполнение бюджета по расходам;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исполнение бюджета по доходам;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учёт и отчётность;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 аудит;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прозрачность бюджетного процесса.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  <w:tab w:val="left" w:pos="1276" w:leader="none"/>
        </w:tabs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Ежеквартальный мониторинг проводится по состоянию на 01 апреля, 01 июля, 01 октября текущего финансового года нарастающим итогом с начала года. Годовой мониторинг проводится по состоянию на 01 января года, следующего за отчётным финансовым годом.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Годовой и ежеквартальный мониторинг проводятся на основании бюджетной отчётности, данных и материалов, представляемых главными </w:t>
        <w:br/>
        <w:t xml:space="preserve">распорядителями в  финансовый отдел в соответствии со сведениями для расчёта показателей мониторинга качества финансового менеджмента согласно приложениям № 3 (в случае годового мониторинга) и № 4 (в случае ежеквартального мониторинга) к настоящему Порядку, данных автоматизированных </w:t>
        <w:br/>
        <w:t xml:space="preserve">информационных бюджетных систем, а также общедоступных (размещённых на официальных сайтах в информационно-телекоммуникационной сети </w:t>
        <w:br/>
        <w:t>«Интернет») данных и материалов.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left="0" w:hanging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Организация проведения мониторинга,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ind w:left="284" w:hanging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осуществляемого главными распорядителями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left="360" w:firstLine="709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Главные распорядители представляют в  финансовый отдел на бумажном носителе и в электронном виде: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проведения ежеквартального мониторинга в срок, не превышающий 20 календарных дней после завершения отчётного периода, следующие сведения за отчётный период: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для расчёта показателей ежеквартального мониторинга качества финансового менеджмента по форме согласно приложению № 4 к настоящему Порядку;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суммах бюджетных ассигнований на финансовое обеспечение муниципальных программ по форме согласно приложению № 5 к настоящему Порядку;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проведения годового мониторинга до 10 апреля текущего </w:t>
        <w:br/>
        <w:t>финансового года следующую информацию за отчётный финансовый год: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для расчёта показателей годового мониторинга качества </w:t>
        <w:br/>
        <w:t>финансового менеджмента по форме согласно приложению № 2 к настоящему Порядку;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утверждённых до 01 января текущего финансового года ведомственных правовых актов в области финансового менеджмента, необходимых для расчёта показателей мониторинга.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суммах бюджетных ассигнований на финансовое обеспечение государственных программ по форме согласно приложению № 5 к настоящему Порядку.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данных расчёта показателей качества финансового менеджмента Управление финансов в срок до 01 мая, 01 августа, 01 ноября текущего года (в случае проведения ежеквартального мониторинга), а также до 20 апреля текущего года (в случае проведения годового мониторинга) осуществляет оценку качества финансового менеджмента и формирует отчёт о результатах мониторинга.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  <w:tab w:val="left" w:pos="1276" w:leader="none"/>
        </w:tabs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мониторинга размещаются на официальном сайте </w:t>
        <w:br/>
        <w:t>администрации муниципального образования Кирпильское сельское поселение  в информационно-телекоммуникационной сети «Интернет» в течение двух недель со дня формирования отчёта о результатах мониторинга.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left="70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40" w:before="0" w:after="0"/>
        <w:ind w:left="284" w:hanging="284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Порядок расчёта и оценки показателей </w:t>
        <w:br/>
        <w:t>качества финансового менеджмента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Финансовый отдел с использованием данных отчётности и сведений, представленных главными распорядителями, осуществляет расчёт показателей мониторинга качества финансового менеджмента, предусмотренных приложениями № 1 (в случае годового мониторинга) и № 2 (в случае ежеквартального мониторинга) к настоящему Порядку.</w:t>
      </w:r>
    </w:p>
    <w:p>
      <w:pPr>
        <w:pStyle w:val="Normal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данных расчёта показателей мониторинга определяется итоговая оценка качества финансового менеджмента по каждому главному распорядителю.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оценка качества финансового менеджмента по каждому главному распорядителю рассчитывается по формуле: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rPr>
          <w:rFonts w:ascii="Times New Roman" w:hAnsi="Times New Roman"/>
          <w:sz w:val="28"/>
          <w:szCs w:val="28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E</m:t>
        </m:r>
        <m:r>
          <w:rPr>
            <w:rFonts w:ascii="Cambria Math" w:hAnsi="Cambria Math"/>
          </w:rPr>
          <m:t xml:space="preserve">=</m:t>
        </m:r>
        <m:r>
          <m:rPr>
            <m:lit/>
            <m:nor/>
          </m:rPr>
          <w:rPr>
            <w:rFonts w:ascii="Cambria Math" w:hAnsi="Cambria Math"/>
          </w:rPr>
          <m:t xml:space="preserve">100</m:t>
        </m:r>
        <m:nary>
          <m:naryPr>
            <m:chr m:val="∑"/>
          </m:naryPr>
          <m:sub>
            <m:r>
              <w:rPr>
                <w:rFonts w:ascii="Cambria Math" w:hAnsi="Cambria Math"/>
              </w:rPr>
              <m:t xml:space="preserve">i</m:t>
            </m:r>
          </m:sub>
          <m:sup/>
          <m:e>
            <m:sSub>
              <m:e>
                <m:r>
                  <w:rPr>
                    <w:rFonts w:ascii="Cambria Math" w:hAnsi="Cambria Math"/>
                  </w:rPr>
                  <m:t xml:space="preserve">S</m:t>
                </m:r>
              </m:e>
              <m:sub>
                <m:r>
                  <w:rPr>
                    <w:rFonts w:ascii="Cambria Math" w:hAnsi="Cambria Math"/>
                  </w:rPr>
                  <m:t xml:space="preserve">i</m:t>
                </m:r>
              </m:sub>
            </m:sSub>
            <m:nary>
              <m:naryPr>
                <m:chr m:val="∑"/>
                <m:supHide m:val="1"/>
              </m:naryPr>
              <m:sub>
                <m:r>
                  <w:rPr>
                    <w:rFonts w:ascii="Cambria Math" w:hAnsi="Cambria Math"/>
                  </w:rPr>
                  <m:t xml:space="preserve">j</m:t>
                </m:r>
              </m:sub>
              <m:sup/>
              <m:e>
                <m:sSub>
                  <m:e>
                    <m:r>
                      <w:rPr>
                        <w:rFonts w:ascii="Cambria Math" w:hAnsi="Cambria Math"/>
                      </w:rPr>
                      <m:t xml:space="preserve">S</m:t>
                    </m:r>
                  </m:e>
                  <m:sub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 xml:space="preserve">ij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E</m:t>
                </m:r>
                <m:d>
                  <m:dPr>
                    <m:begChr m:val="("/>
                    <m:endChr m:val=")"/>
                  </m:dPr>
                  <m:e>
                    <m:sSub>
                      <m:e>
                        <m:r>
                          <w:rPr>
                            <w:rFonts w:ascii="Cambria Math" w:hAnsi="Cambria Math"/>
                          </w:rPr>
                          <m:t xml:space="preserve">P</m:t>
                        </m:r>
                      </m:e>
                      <m:sub>
                        <m:r>
                          <m:rPr>
                            <m:lit/>
                            <m:nor/>
                          </m:rPr>
                          <w:rPr>
                            <w:rFonts w:ascii="Cambria Math" w:hAnsi="Cambria Math"/>
                          </w:rPr>
                          <m:t xml:space="preserve">ij</m:t>
                        </m:r>
                      </m:sub>
                    </m:sSub>
                  </m:e>
                </m:d>
              </m:e>
            </m:nary>
          </m:e>
        </m:nary>
      </m:oMath>
      <w:r>
        <w:rPr>
          <w:rFonts w:ascii="Times New Roman" w:hAnsi="Times New Roman"/>
          <w:sz w:val="28"/>
          <w:szCs w:val="28"/>
        </w:rPr>
        <w:t>, где: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en-US"/>
        </w:rPr>
        <w:t>E</w:t>
      </w:r>
      <w:r>
        <w:rPr>
          <w:rFonts w:ascii="Times New Roman" w:hAnsi="Times New Roman"/>
          <w:i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итоговая оценка по главному распорядителю;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/>
          <w:i/>
          <w:sz w:val="28"/>
          <w:szCs w:val="28"/>
          <w:vertAlign w:val="subscript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– вес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-ой группы показателей качества финансового менеджмента;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en-US"/>
        </w:rPr>
        <w:t>S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ij</w:t>
      </w:r>
      <w:r>
        <w:rPr>
          <w:rFonts w:ascii="Times New Roman" w:hAnsi="Times New Roman"/>
          <w:i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 вес </w:t>
      </w:r>
      <w:r>
        <w:rPr>
          <w:rFonts w:ascii="Times New Roman" w:hAnsi="Times New Roman"/>
          <w:i/>
          <w:sz w:val="28"/>
          <w:szCs w:val="28"/>
          <w:lang w:val="en-US"/>
        </w:rPr>
        <w:t>j</w:t>
      </w:r>
      <w:r>
        <w:rPr>
          <w:rFonts w:ascii="Times New Roman" w:hAnsi="Times New Roman"/>
          <w:sz w:val="28"/>
          <w:szCs w:val="28"/>
        </w:rPr>
        <w:t xml:space="preserve">-ого показателя качества финансового менеджмента в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-ой группе показателей качества финансового менеджмента;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en-US"/>
        </w:rPr>
        <w:t>E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ij</w:t>
      </w:r>
      <w:r>
        <w:rPr>
          <w:rFonts w:ascii="Times New Roman" w:hAnsi="Times New Roman"/>
          <w:i/>
          <w:sz w:val="28"/>
          <w:szCs w:val="28"/>
        </w:rPr>
        <w:t xml:space="preserve">) – </w:t>
      </w:r>
      <w:r>
        <w:rPr>
          <w:rFonts w:ascii="Times New Roman" w:hAnsi="Times New Roman"/>
          <w:sz w:val="28"/>
          <w:szCs w:val="28"/>
        </w:rPr>
        <w:t xml:space="preserve"> оценка по </w:t>
      </w:r>
      <w:r>
        <w:rPr>
          <w:rFonts w:ascii="Times New Roman" w:hAnsi="Times New Roman"/>
          <w:i/>
          <w:sz w:val="28"/>
          <w:szCs w:val="28"/>
          <w:lang w:val="en-US"/>
        </w:rPr>
        <w:t>j</w:t>
      </w:r>
      <w:r>
        <w:rPr>
          <w:rFonts w:ascii="Times New Roman" w:hAnsi="Times New Roman"/>
          <w:sz w:val="28"/>
          <w:szCs w:val="28"/>
        </w:rPr>
        <w:t xml:space="preserve">-ому показателю качества финансового менеджмента </w:t>
        <w:br/>
        <w:t xml:space="preserve">в </w:t>
      </w:r>
      <w:r>
        <w:rPr>
          <w:rFonts w:ascii="Times New Roman" w:hAnsi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-ой группе показателей качества финансового менеджмента.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случае, если для главного распорядителя показатель (группа показателей) качества финансового менеджмента не рассчитывается, вес указанного </w:t>
        <w:br/>
        <w:t>показателя (группы показателей) качества финансового менеджмента пропорционально распределяется по остальным показателям (группам показателей) качества финансового менеджмента.</w:t>
      </w:r>
    </w:p>
    <w:p>
      <w:pPr>
        <w:sectPr>
          <w:headerReference w:type="default" r:id="rId2"/>
          <w:type w:val="nextPage"/>
          <w:pgSz w:w="11906" w:h="16838"/>
          <w:pgMar w:left="1530" w:right="567" w:header="708" w:top="1134" w:footer="0" w:bottom="1134" w:gutter="0"/>
          <w:pgNumType w:start="1" w:fmt="decimal"/>
          <w:formProt w:val="false"/>
          <w:textDirection w:val="lrTb"/>
          <w:docGrid w:type="default" w:linePitch="360" w:charSpace="0"/>
        </w:sectPr>
        <w:pStyle w:val="Normal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 w:before="0"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итоговым оценкам качества финансового менеджмента главных распорядителей  финансовый отдел формирует сводный рейтинг, ранжированный по убыванию итоговых оценок качества финансового менеджмента главных распорядителей.</w:t>
      </w:r>
    </w:p>
    <w:p>
      <w:pPr>
        <w:pStyle w:val="Normal"/>
        <w:spacing w:lineRule="auto" w:line="240" w:before="0" w:after="0"/>
        <w:ind w:left="1134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               к Порядку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ПОКАЗАТЕЛИ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ежегодного мониторинга качества финансового менеджмента,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осуществляемого главными распорядителями средств бюджета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Кирпильское сельское поселение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5000" w:type="pct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95"/>
        <w:gridCol w:w="2585"/>
        <w:gridCol w:w="3047"/>
        <w:gridCol w:w="1060"/>
        <w:gridCol w:w="1058"/>
        <w:gridCol w:w="3972"/>
        <w:gridCol w:w="2252"/>
      </w:tblGrid>
      <w:tr>
        <w:trPr>
          <w:tblHeader w:val="true"/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Расчёт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 группы в оценке /показа-теля в группе (%)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left="-249" w:firstLine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</w:tr>
    </w:tbl>
    <w:p>
      <w:pPr>
        <w:pStyle w:val="Normal"/>
        <w:spacing w:lineRule="auto" w:line="2"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5000" w:type="pct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95"/>
        <w:gridCol w:w="2585"/>
        <w:gridCol w:w="3047"/>
        <w:gridCol w:w="1060"/>
        <w:gridCol w:w="1058"/>
        <w:gridCol w:w="3972"/>
        <w:gridCol w:w="2252"/>
      </w:tblGrid>
      <w:tr>
        <w:trPr>
          <w:tblHeader w:val="true"/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ind w:firstLine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планирование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1.1.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Качество планирования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расходов: количество изменений в сводную бюджетную роспись бюджета 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 (за исключением целевых поступлений из областного и федерального бюджетов)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false"/>
                <w:b w:val="false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Р – количество уведомлений об изменении бюджетных назначений сводной бюджетной росписи бюджета 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Е (Р) = 1-Р/12,</w:t>
            </w:r>
          </w:p>
          <w:p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если Р ≤ 12;</w:t>
            </w:r>
          </w:p>
          <w:p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</w:r>
          </w:p>
          <w:p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Е (Р) = 0,</w:t>
            </w:r>
          </w:p>
          <w:p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если Р &gt; 12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false"/>
                <w:b w:val="false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Большое количество изменений в сводную бюджетную роспись бюджета 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spacing w:val="-6"/>
                <w:sz w:val="24"/>
                <w:szCs w:val="24"/>
              </w:rPr>
              <w:t>свидетельствует о низком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 качестве работы главных распорядителей средств бюджета 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 (далее – ГРБС) по финансовому планированию.</w:t>
            </w:r>
          </w:p>
          <w:p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Целевым ориентиром является отсутствие изменений в сводную бюджетную роспись бюджета 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 </w:t>
            </w:r>
          </w:p>
        </w:tc>
      </w:tr>
      <w:tr>
        <w:trPr>
          <w:trHeight w:val="850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"/>
              <w:spacing w:lineRule="auto" w:line="235"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1.2.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"/>
              <w:spacing w:lineRule="auto" w:line="235"/>
              <w:jc w:val="both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Качество планирования расходов: доля суммы изменений в сводную бюджетную роспись  бюджета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 (за исключением целевых поступлений из районного, областного и федерального бюджетов и внесений изменений в решение о  бюджете 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 на соответствующий период)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 = 100 *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>
            <w:pPr>
              <w:pStyle w:val="Normal"/>
              <w:widowControl w:val="false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ConsPlusTitle"/>
              <w:spacing w:lineRule="auto" w:line="235"/>
              <w:jc w:val="both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  <w:lang w:val="en-US"/>
              </w:rPr>
              <w:t>S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– сумма положительных изменений сводной бюджетной росписи бюджета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 (за исключением целевых поступлений из районного, областного и федерального бюджетов и внесений изменений в решение о бюджете 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на соответствующий период);</w:t>
            </w:r>
          </w:p>
          <w:p>
            <w:pPr>
              <w:pStyle w:val="ConsPlusTitle"/>
              <w:spacing w:lineRule="auto" w:line="235"/>
              <w:jc w:val="both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  <w:lang w:val="en-US"/>
              </w:rPr>
              <w:t>b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 – объём бюджетных ассигнований ГРБС согласно сводной бюджетной росписи бюджета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с учётом внесённых в неё изменений по состоянию на конец отчётного периода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"/>
              <w:spacing w:lineRule="auto" w:line="235"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Е (Р) = 1-Р/100,</w:t>
            </w:r>
          </w:p>
          <w:p>
            <w:pPr>
              <w:pStyle w:val="ConsPlusTitle"/>
              <w:spacing w:lineRule="auto" w:line="235"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если Р ≤ 15%;</w:t>
            </w:r>
          </w:p>
          <w:p>
            <w:pPr>
              <w:pStyle w:val="ConsPlusTitle"/>
              <w:spacing w:lineRule="auto" w:line="235"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</w:r>
          </w:p>
          <w:p>
            <w:pPr>
              <w:pStyle w:val="ConsPlusTitle"/>
              <w:spacing w:lineRule="auto" w:line="235"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Е (Р) = 0, </w:t>
            </w:r>
          </w:p>
          <w:p>
            <w:pPr>
              <w:pStyle w:val="ConsPlusTitle"/>
              <w:spacing w:lineRule="auto" w:line="235"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если Р &gt; 15%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"/>
              <w:spacing w:lineRule="auto" w:line="235"/>
              <w:jc w:val="both"/>
              <w:rPr>
                <w:rFonts w:ascii="Times New Roman" w:hAnsi="Times New Roman" w:cs="Times New Roman"/>
                <w:b w:val="false"/>
                <w:b w:val="false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>Большое значение показателя свидетельствует о низком уровне качества работы ГРБС по финансовому планированию.</w:t>
            </w:r>
          </w:p>
          <w:p>
            <w:pPr>
              <w:pStyle w:val="ConsPlusTitle"/>
              <w:spacing w:lineRule="auto" w:line="235"/>
              <w:jc w:val="both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>Целевым ориентиром является значение по-казателя менее 15%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28" w:before="0"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Своевременность представления реестра расходных обязательств ГРБС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 – количество дней отклонений от установленного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срока представления реестра расходных обязательств ГРБС до даты регистрации в финансовом отделе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письма ГРБС, к которому приложен реестр расходных обязательств ГРБС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= 1, если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0;</w:t>
            </w:r>
          </w:p>
          <w:p>
            <w:pPr>
              <w:pStyle w:val="Normal"/>
              <w:widowControl w:val="false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= 0,8, если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1;</w:t>
            </w:r>
          </w:p>
          <w:p>
            <w:pPr>
              <w:pStyle w:val="Normal"/>
              <w:widowControl w:val="false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= 0,6, если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2;</w:t>
            </w:r>
          </w:p>
          <w:p>
            <w:pPr>
              <w:pStyle w:val="Normal"/>
              <w:widowControl w:val="false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= 0,4, если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3;</w:t>
            </w:r>
          </w:p>
          <w:p>
            <w:pPr>
              <w:pStyle w:val="Normal"/>
              <w:widowControl w:val="false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= 0,2, если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4;</w:t>
            </w:r>
          </w:p>
          <w:p>
            <w:pPr>
              <w:pStyle w:val="Normal"/>
              <w:widowControl w:val="false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= 0, если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&gt; = 5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28" w:before="0"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Оценивается соблюдение сроков представления в финансовый отдел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реестра расходных обязательств ГРБС. Целевым ориентиром является достижение показателя, равного </w:t>
              <w:br/>
              <w:t>0, представление реестра до наступления установленного срока оценивается в 5 баллов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Программно-целевое планирование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бюджетных ассигнований, формируемых в рамках муниципальных программ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 = 100 * 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>
            <w:pPr>
              <w:pStyle w:val="Normal"/>
              <w:widowControl w:val="false"/>
              <w:spacing w:lineRule="auto" w:line="228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>
            <w:pPr>
              <w:pStyle w:val="Normal"/>
              <w:widowControl w:val="false"/>
              <w:spacing w:lineRule="auto" w:line="228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сумма бюджетных ассигнований ГРБС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отчётный (текущий) финансовый год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формируемых в рамках муниципальных программ;</w:t>
            </w:r>
          </w:p>
          <w:p>
            <w:pPr>
              <w:pStyle w:val="Normal"/>
              <w:widowControl w:val="false"/>
              <w:spacing w:lineRule="auto" w:line="228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общая сумма бюджетных ассигнований ГРБС, предусмотренная решением о бюджете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отчётный (текущий) финансовый год с учётом внесённых в неё изменений по состоянию на конец отчётного периода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= </w:t>
            </w:r>
            <w:r>
              <w:rPr/>
              <w:drawing>
                <wp:inline distT="0" distB="0" distL="0" distR="0">
                  <wp:extent cx="276225" cy="390525"/>
                  <wp:effectExtent l="0" t="0" r="0" b="0"/>
                  <wp:docPr id="1" name="Рисунок 3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Позитивно расценивается рост доли бюджетных ассигнований ГРБС на отчётный (текущий) финансовый год, утверждённых решением о бюджете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отчётный (текущий) финансовый год, формируемых в рамках муниципальных программ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t>Доля своевременно утвер-</w:t>
            </w:r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 xml:space="preserve">ждённых и внесённых изменений в планы-графики (далее – ПГ) </w:t>
              <w:br/>
              <w:t>реализации программ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/>
              <w:drawing>
                <wp:inline distT="0" distB="0" distL="0" distR="0">
                  <wp:extent cx="657225" cy="390525"/>
                  <wp:effectExtent l="0" t="0" r="0" b="0"/>
                  <wp:docPr id="2" name="Рисунок 3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Кпг – количество своевременно утверждённых ПГ в отчётном периоде;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>Кви – общее количество вносимых изменений в муниципальную программу в отчётном 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/>
              <w:drawing>
                <wp:inline distT="0" distB="0" distL="0" distR="0">
                  <wp:extent cx="276225" cy="390525"/>
                  <wp:effectExtent l="0" t="0" r="0" b="0"/>
                  <wp:docPr id="3" name="Рисунок 3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Доля представленных квартальных отчётов и годового отчёта в установленный срок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= </w:t>
            </w:r>
            <w:r>
              <w:rPr/>
              <w:drawing>
                <wp:inline distT="0" distB="0" distL="0" distR="0">
                  <wp:extent cx="581025" cy="390525"/>
                  <wp:effectExtent l="0" t="0" r="0" b="0"/>
                  <wp:docPr id="4" name="Рисунок 2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Ко – количество представленных отчётов в установленный срок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/>
              <w:drawing>
                <wp:inline distT="0" distB="0" distL="0" distR="0">
                  <wp:extent cx="276225" cy="390525"/>
                  <wp:effectExtent l="0" t="0" r="0" b="0"/>
                  <wp:docPr id="5" name="Рисунок 2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 xml:space="preserve">Доля представленных в полном объёме согласно утверждённой форме отчётов о реализации муниципальной программы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= </w:t>
            </w:r>
            <w:r>
              <w:rPr/>
              <w:drawing>
                <wp:inline distT="0" distB="0" distL="0" distR="0">
                  <wp:extent cx="676275" cy="428625"/>
                  <wp:effectExtent l="0" t="0" r="0" b="0"/>
                  <wp:docPr id="6" name="Рисунок 2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2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eastAsia="Symbol" w:cs="Symbol" w:ascii="Symbol" w:hAnsi="Symbol"/>
                <w:bCs/>
                <w:iCs/>
                <w:sz w:val="24"/>
                <w:szCs w:val="24"/>
              </w:rPr>
              <w:t>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 – сумма всех заполненных разделов в представленных отчётах в отчётном 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/>
              <w:drawing>
                <wp:inline distT="0" distB="0" distL="0" distR="0">
                  <wp:extent cx="276225" cy="390525"/>
                  <wp:effectExtent l="0" t="0" r="0" b="0"/>
                  <wp:docPr id="7" name="Рисунок 2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Размещение на официальном сайте администрации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информации о муниципальных программах и фактических результатах их реализации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информации о муниципальных программах </w:t>
              <w:br/>
              <w:t>и фактических результатах их реализации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(Р) = 1, если информация о муниципальных программах и фактических результатах их реализации, заказчиком и исполнителем которых является ИОГВ, размещена на официальном сайте;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(Р) = 0, если информация о муниципальных программах и фактических результатах их реализации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 размещена на официальном сайте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Исполнение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расходам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Равномерность расходов (без учёта целевых поступлений из районного, областного и федерального бюджетов)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 = (Е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Еср) * 100/Еср,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кассовые расходы ГРБС в четвёртом квартале отчётного финансового года;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Еср – средний объём кассовых расходов ГРБС за первый-третий кварталы отчётного финансового года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ind w:left="-85" w:right="-85" w:hanging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=</w:t>
            </w:r>
            <w:r>
              <w:rPr/>
              <w:drawing>
                <wp:inline distT="0" distB="0" distL="0" distR="0">
                  <wp:extent cx="2257425" cy="942975"/>
                  <wp:effectExtent l="0" t="0" r="0" b="0"/>
                  <wp:docPr id="8" name="Рисунок 2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2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отражает равномерность расходов ГРБС в отчётном периоде.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Целевым ориентиром является значение по-казателя, при котором кассовые расходы в четвёртом квартале достигают менее трети годовых расходов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Снижение (рост) просроченной кредиторской задолженности ГРБС и подведомственных муниципальных</w:t>
            </w:r>
            <w:r>
              <w:rPr>
                <w:rFonts w:eastAsia="Calibri" w:ascii="Times New Roman" w:hAnsi="Times New Roman"/>
                <w:spacing w:val="-4"/>
                <w:sz w:val="24"/>
                <w:szCs w:val="24"/>
              </w:rPr>
              <w:t xml:space="preserve"> учреждений в отчётном периоде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28" w:before="0" w:after="0"/>
              <w:outlineLvl w:val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Р = Ко/Кн,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28" w:before="0" w:after="0"/>
              <w:outlineLvl w:val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Ко – объём просроченной кредиторской задолженности ГРБС и подведомственных муниципальных учреждений  по состоянию на конец отчётного периода;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Кн – объём просроченной кредиторской задолженности ГРБС и подведомственных муниципальных учреждений по состоянию на начало отчётного года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Е (Р) = 1, если Р &lt; 1;</w:t>
            </w:r>
          </w:p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Е (Р) = 0,5, если Р = 1;</w:t>
            </w:r>
          </w:p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Е (Р) = 0, если Р &gt;1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 w:eastAsia="Calibri"/>
                <w:spacing w:val="-6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pacing w:val="-6"/>
                <w:sz w:val="24"/>
                <w:szCs w:val="24"/>
              </w:rPr>
              <w:t>Положительно расценивается отсутствие просроченной кредиторской задолженности или снижение просроченной кредиторской задолженности более чем на 10%.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pacing w:val="-4"/>
                <w:sz w:val="24"/>
                <w:szCs w:val="24"/>
              </w:rPr>
              <w:t>Целевым показателем для ГРБС является отсутствие просроченной кредиторской задолженности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Эффективность управления кредиторской задолженностью по расчётам с поставщиками и подрядчиками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 = 100 * Кз/Е, 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Кз – объём кредиторской </w:t>
              <w:br/>
              <w:t>задолженности по расчётам с поставщиками и подрядчиками по состоянию на 01 января года, следующего за отчётным;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– кассовое исполнение расходов ГРБС в отчётном 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=</w:t>
            </w:r>
            <w:r>
              <w:rPr/>
              <w:drawing>
                <wp:inline distT="0" distB="0" distL="0" distR="0">
                  <wp:extent cx="1704975" cy="704850"/>
                  <wp:effectExtent l="0" t="0" r="0" b="0"/>
                  <wp:docPr id="9" name="Рисунок 2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2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Негативным считается факт накопления значительного объёма кредиторской задолженности по расчётам  с поставщиками и подрядчиками по состоянию на 01 января года, следующего за отчётным, </w:t>
              <w:br/>
              <w:t>по отношению к кассовому исполнению расходов ГРБС в отчётном финансовом году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Эффективность управления дебиторской задолженностью </w:t>
            </w:r>
            <w:r>
              <w:rPr>
                <w:rFonts w:ascii="Times New Roman" w:hAnsi="Times New Roman"/>
                <w:sz w:val="24"/>
                <w:szCs w:val="24"/>
              </w:rPr>
              <w:t>с поставщиками и подрядчиками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 = 100 * Д/Е,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 – объём дебиторской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задолженности по расчётам с поставщиками и подрядчиками по состоянию на 01 января года, следующего за отчётным;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– кассовое исполнение расходов ГРБС в отчётном 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=</w:t>
            </w:r>
            <w:r>
              <w:rPr/>
              <w:drawing>
                <wp:inline distT="0" distB="0" distL="0" distR="0">
                  <wp:extent cx="1704975" cy="704850"/>
                  <wp:effectExtent l="0" t="0" r="0" b="0"/>
                  <wp:docPr id="10" name="Рисунок 2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2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Негативным считается факт накопления значительного объёма дебиторской задолженности по расчётам с поставщиками и подрядчиками по состоянию на 01 января года, следующего за отчётным, </w:t>
              <w:br/>
              <w:t>по отношению к кассовому исполнению расходов ГРБС в отчётном финансовом году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Сумма, подлежащая взысканию по исполнительным документам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 = 100 *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/Е,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сумма, подлежащая взысканию по поступившим с начала финансового года исполнительным документам за счёт средств бюджета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состоянию на конец отчётного периода; </w:t>
            </w:r>
          </w:p>
          <w:p>
            <w:pPr>
              <w:pStyle w:val="Normal"/>
              <w:spacing w:lineRule="auto" w:line="247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– кассовое исполнение расходов ГРБС в отчётном 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=</w:t>
            </w:r>
            <w:r>
              <w:rPr/>
              <w:drawing>
                <wp:inline distT="0" distB="0" distL="0" distR="0">
                  <wp:extent cx="1457325" cy="504825"/>
                  <wp:effectExtent l="0" t="0" r="0" b="0"/>
                  <wp:docPr id="11" name="Рисунок 2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2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Позитивно расценивается уменьшение суммы, подлежащей взысканию по поступившим с начала финансового года исполнительным документам за счёт средств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7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Целевым ориентиром для ГРБС является значение показателя, равное 0%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Исполнение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доходам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Эффективность работы с невыясненными поступлениями в бюджет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 = 100 *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/Е,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объём невыясненных поступлений за отчётный период;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– кассовое исполнение расходов ГРБС в отчётном 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= </w:t>
            </w:r>
            <w:r>
              <w:rPr/>
              <w:drawing>
                <wp:inline distT="0" distB="0" distL="0" distR="0">
                  <wp:extent cx="466725" cy="390525"/>
                  <wp:effectExtent l="0" t="0" r="0" b="0"/>
                  <wp:docPr id="12" name="Рисунок 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Негативным считается факт увеличения объёма невыясненных поступлений за отчётный период. Целевым ориентиром является значение показателя 0%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 правовой базы ГАДБ по администрированию доходов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правовых актов </w:t>
            </w:r>
            <w:r>
              <w:rPr>
                <w:rFonts w:ascii="Times New Roman" w:hAnsi="Times New Roman"/>
                <w:sz w:val="24"/>
                <w:szCs w:val="24"/>
              </w:rPr>
              <w:t>ГАДБ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содержащих: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0" w:leader="none"/>
                <w:tab w:val="left" w:pos="316" w:leader="none"/>
              </w:tabs>
              <w:spacing w:lineRule="auto" w:line="235" w:before="0" w:after="0"/>
              <w:ind w:left="0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закрепление доходных источников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бюджета муниципального образования 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подведомственными администраторами доходов бюджета (далее – АДБ);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0" w:leader="none"/>
                <w:tab w:val="left" w:pos="32" w:leader="none"/>
                <w:tab w:val="left" w:pos="316" w:leader="none"/>
              </w:tabs>
              <w:spacing w:lineRule="auto" w:line="235" w:before="0" w:after="0"/>
              <w:ind w:left="0" w:hanging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наделение подведомственных АДБ бюджетными полномочиями администратора;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32" w:leader="none"/>
                <w:tab w:val="left" w:pos="316" w:leader="none"/>
              </w:tabs>
              <w:spacing w:lineRule="auto" w:line="235" w:before="0" w:after="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порядка заполнения (составления) первичных документов для целей ведения бюджетного учёта по методу начисления;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0" w:leader="none"/>
                <w:tab w:val="left" w:pos="316" w:leader="none"/>
              </w:tabs>
              <w:spacing w:lineRule="auto" w:line="235" w:before="0" w:after="0"/>
              <w:ind w:left="0" w:hanging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порядок обмена информацией между структурными подразделениями АДБ при начислении платежей, уточнении вида и принадлежности платежей, принятии решений о возврате;</w:t>
            </w:r>
          </w:p>
          <w:p>
            <w:pPr>
              <w:pStyle w:val="Normal"/>
              <w:numPr>
                <w:ilvl w:val="0"/>
                <w:numId w:val="3"/>
              </w:numPr>
              <w:tabs>
                <w:tab w:val="clear" w:pos="708"/>
                <w:tab w:val="left" w:pos="0" w:leader="none"/>
                <w:tab w:val="left" w:pos="32" w:leader="none"/>
                <w:tab w:val="left" w:pos="457" w:leader="none"/>
              </w:tabs>
              <w:spacing w:lineRule="auto" w:line="235" w:before="0" w:after="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порядок представления АДБ бюджетной отчётности ГАДБ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1, если правовой акт ГАДБ полностью соответствует требованиям пунктов 1-5 настоящей строки;</w:t>
            </w:r>
          </w:p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0,75, если правовой акт ГАДБ полностью соответствует требованиям пунктов 1-4 настоящей строки;</w:t>
            </w:r>
          </w:p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0,5, если правовой акт ГАДБ полностью соответствует требованиям пунктов 1 и 2 настоящей строки и не соответствует полностью или частично хотя бы одному из требований пунктов 3-5 настоящей строки;</w:t>
            </w:r>
          </w:p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0, если правовой акт ГАДБ полностью или частично не соответствует хотя бы одному из требований пунктов 1 и 2 настоящей строки и (или) двум и более требованиям пунктов 3-5 настоящей строки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Показатель применяется для оценки правового обеспечения деятельности ГАДБ по осуществлению контроля за правильностью исчисления, полнотой и своевременностью уплаты, начисления, учёта, взыскания и принятия решений о возврате (зачёте) излишне уплаченных (взысканных) платежей, пеней и штрафов по ним, являющихся доходами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бюджета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Учёт и отчётность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качественной бюджетной отчётности в установленные сроки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бюджетной отчётности за отчётный период с соблюдением установленных сроков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по формам, утверждённым приказом Министерства финансов Российской Федерации от 28.12.2010 № 191н «Об утверждении Инструкции о порядке составления и представления годовой, квартальной и месячной отчётности об исполнении бюджетов бюджетной системы Российской Федерации» (далее – утверждённые формы)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= 1, если отчётность представлена с соблюдением установленных сроков;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= 0, если отчётность представлена с нарушением установленных сроков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оценки данного показателя позитивно рассматривается исполнение сроков представления качественной бюджетной отчётности</w:t>
            </w:r>
          </w:p>
        </w:tc>
      </w:tr>
      <w:tr>
        <w:trPr>
          <w:trHeight w:val="70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 и аудит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предписаний по фактам выявленных нарушений по результатам проверок органов внутреннего муниципального финансового контроля, внешнего муниципального финансового контроля, в том числе по подведомственным учреждениям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расчёте показателя оценивается наличие предписаний по фактам выявленных нарушений по результатам проверок органов внутреннего муниципального финансового контроля, внешнего муниципального финансового контроля, в том числе по подведомственным учреждениям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1, если по результатам проверок органами внутреннего муниципального финансового контроля, внешнего муниципального финансового контроля, в том числе по подведомственным учреждениям, не выявлено фактов нарушений;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0, если присутствуют предписания по фактам выявленных нарушений по результатам проверок органами внутреннего муниципального финансового контроля, внешнего муниципального финансового контроля, в том числе по подведомственным учреждениям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Прозрачность бюджетного процесса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на официальном сайте администрации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муниципальных заданий на оказание муниципальных услуг (выполнение работ) муниципальными учреждениями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на официальном сайте администрации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муниципальных заданий на оказание муниципальных услуг (выполнение работ) муниципальными учреждениями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Е (Р) = 1, если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задания на оказание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услуг (выполнение работ)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муниципальными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 учреждениями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размещены на официальном сайте;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Е (Р) = 0, если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муниципальные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задания на оказание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услуг (выполнение работ)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муниципальными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 учреждениями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не размещены на официальном сайте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Размещение на официальном сайте администрации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отчёта об исполнении муниципальных заданий на оказание муниципальных услуг (выполнение работ) муниципальными учреждениями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Наличие на официальном сайте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отчёта об исполнении муниципальных заданий на оказание муниципальных услуг (выполнение работ) муниципальными учреждениями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Style w:val="Style19"/>
                <w:rFonts w:ascii="Times New Roman" w:hAnsi="Times New Roman"/>
                <w:color w:val="000000"/>
                <w:spacing w:val="-4"/>
                <w:sz w:val="24"/>
                <w:szCs w:val="24"/>
              </w:rPr>
              <w:footnoteReference w:id="2"/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(Р) = 1, если отчёт об исполнении муниципальных заданий на оказание муниципальных услуг (выполнение работ) муниципальными учреждениями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размещён на официальном сайте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(Р) = 0, если отчёт об исполнении муниципальных заданий на оказание муниципальных услуг (выполнение работ) муниципальными  учреждениями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 размещён на официальном сайте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Размещение на официальном сайте администрации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показателей планов финансово-хозяйственной деятельности или информации о бюджетных обязательствах муниципальных учреждений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на официальном сайте администрации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оказателей планов финансово-хозяйственной деятельности или информации о бюджетных обязательствах муниципальных учреждений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(Р) = 1, если показатели планов финансово-хозяйственной деятельности или информация о бюджетных обязательствах муниципальных учреждений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размещены на официальном сайте;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(Р) = 0, если показатели планов финансово-хозяйственной деятельности или информация о бюджетных обязательствах муниципальных учреждений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 </w:t>
            </w:r>
            <w:r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 размещены на официальном сайте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7.4.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">
                      <wp:simplePos x="0" y="0"/>
                      <wp:positionH relativeFrom="column">
                        <wp:posOffset>9425305</wp:posOffset>
                      </wp:positionH>
                      <wp:positionV relativeFrom="paragraph">
                        <wp:posOffset>813435</wp:posOffset>
                      </wp:positionV>
                      <wp:extent cx="364490" cy="278765"/>
                      <wp:effectExtent l="0" t="0" r="0" b="0"/>
                      <wp:wrapNone/>
                      <wp:docPr id="13" name="Изображение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960" cy="278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35"/>
                                    <w:spacing w:before="0" w:after="200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Изображение1" stroked="f" style="position:absolute;margin-left:742.15pt;margin-top:64.05pt;width:28.6pt;height:21.85pt">
                      <w10:wrap type="none"/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35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Размещение подведомственными муниципальными учреждениями сведений на официальном сайте Российской Федерации для размещения информации о государственных (муниципальных) учреждениях </w:t>
            </w:r>
            <w:r>
              <w:rPr>
                <w:rFonts w:ascii="Times New Roman" w:hAnsi="Times New Roman"/>
                <w:sz w:val="24"/>
                <w:szCs w:val="24"/>
              </w:rPr>
              <w:t>bus.gov.ru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пунктом 15 приказа Министерства финансов Российской Федерации от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21.07.2011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86н «Об утверждении порядка предоставления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информации государственным (муниципальным) учреждением, её размещения на официальном сайте в сети Интернет и ведения указанного сайта»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 = Nbus/N,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Nbus – количество муниципальных учреждений разместивших сведения на официальном сайте Российской Федерации для размещения информации о государственных (муниципальных) учреждениях bus.gov.ru;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– общее количество муниципальных учреждений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= 1, если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= 100;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= 0,5, если 70 ≤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&lt; 100;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0, если P &lt; 70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Целевым ориентиром для ГРБС является значение показателя 100%</w:t>
            </w:r>
          </w:p>
        </w:tc>
      </w:tr>
    </w:tbl>
    <w:p>
      <w:pPr>
        <w:sectPr>
          <w:headerReference w:type="default" r:id="rId15"/>
          <w:headerReference w:type="first" r:id="rId16"/>
          <w:footnotePr>
            <w:numFmt w:val="decimal"/>
          </w:footnotePr>
          <w:type w:val="nextPage"/>
          <w:pgSz w:orient="landscape" w:w="16838" w:h="11906"/>
          <w:pgMar w:left="1134" w:right="1134" w:header="1134" w:top="1701" w:footer="0" w:bottom="567" w:gutter="0"/>
          <w:pgNumType w:start="1"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spacing w:lineRule="auto" w:line="360" w:before="0" w:after="0"/>
        <w:ind w:left="1134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 № 2</w:t>
      </w:r>
    </w:p>
    <w:p>
      <w:pPr>
        <w:pStyle w:val="Normal"/>
        <w:spacing w:lineRule="auto" w:line="240" w:before="0" w:after="0"/>
        <w:ind w:left="1134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ПОКАЗАТЕЛИ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ежеквартального мониторинга качества финансового менеджмента,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осуществляемого главными распорядителями средств бюджета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Кирпильское сельское поселение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5000" w:type="pct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95"/>
        <w:gridCol w:w="2585"/>
        <w:gridCol w:w="3047"/>
        <w:gridCol w:w="1060"/>
        <w:gridCol w:w="1058"/>
        <w:gridCol w:w="3972"/>
        <w:gridCol w:w="2252"/>
      </w:tblGrid>
      <w:tr>
        <w:trPr>
          <w:tblHeader w:val="true"/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Расчёт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 группы в оценке /показа-теля в группе (%)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left="-249" w:firstLine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</w:tr>
    </w:tbl>
    <w:p>
      <w:pPr>
        <w:pStyle w:val="Normal"/>
        <w:spacing w:lineRule="auto" w:line="2"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5000" w:type="pct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95"/>
        <w:gridCol w:w="2585"/>
        <w:gridCol w:w="3047"/>
        <w:gridCol w:w="1060"/>
        <w:gridCol w:w="1058"/>
        <w:gridCol w:w="3972"/>
        <w:gridCol w:w="2252"/>
      </w:tblGrid>
      <w:tr>
        <w:trPr>
          <w:tblHeader w:val="true"/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ind w:firstLine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ind w:firstLine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планирование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1.1.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Качество планирования расходов: количество изменений в сводную бюджетную роспись  бюджета 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 (за исключением целевых поступлений из районного, областного и федерального бюджетов)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Р – количество уведомлений об изменении бюджетных назначений сводной бюджетной росписи бюджета 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Е (Р) = 1-Р/а,</w:t>
            </w:r>
          </w:p>
          <w:p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если Р ≤ а;</w:t>
            </w:r>
          </w:p>
          <w:p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</w:r>
          </w:p>
          <w:p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Е (Р) = 0,</w:t>
            </w:r>
          </w:p>
          <w:p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если Р &gt; а,</w:t>
            </w:r>
          </w:p>
          <w:p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где: </w:t>
            </w:r>
          </w:p>
          <w:p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а = 3 – в случае мониторинга качества финансового менеджмента за первый квартал текущего финансового года;</w:t>
            </w:r>
          </w:p>
          <w:p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а = 6 – в случае мониторинга качества 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>финансового менеджмента за первое   полугодие  текущего финансового года;</w:t>
            </w:r>
          </w:p>
          <w:p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а = 9 – в случае мониторинга качества финансового менеджмента за 9 месяцев текущего финансового года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false"/>
                <w:b w:val="false"/>
                <w:spacing w:val="-4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Большое количество изменений в сводную бюджетную роспись бюджета 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  свидетельствует о низком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качестве работы главных распорядителей средств бюджета 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 (далее – ГРБС) по финансовому планированию. </w:t>
            </w:r>
          </w:p>
          <w:p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Целевым ориентиром является отсутствие изменений в сводной бюджетной росписи бюджета муниципального образования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 xml:space="preserve"> Кирпильское сельское поселение</w:t>
            </w:r>
          </w:p>
        </w:tc>
      </w:tr>
      <w:tr>
        <w:trPr>
          <w:trHeight w:val="849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"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1.2.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"/>
              <w:jc w:val="both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Качество планирования расходов: доля суммы изменений в сводной бюджетной росписи бюджета 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  (за исключением целевых  поступлений из районного, областного и федерального бюджетов)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 = 100 *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ConsPlusTitle"/>
              <w:jc w:val="both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  <w:lang w:val="en-US"/>
              </w:rPr>
              <w:t>S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– сумма положительных изменений сводной бюджетной росписи бюджета 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  (за исключением целевых поступлений из районного, областного и федерального бюджетов и внесений изменений в решение о бюджете 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  на соответствующий период);</w:t>
            </w:r>
          </w:p>
          <w:p>
            <w:pPr>
              <w:pStyle w:val="ConsPlusTitle"/>
              <w:jc w:val="both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  <w:lang w:val="en-US"/>
              </w:rPr>
              <w:t>b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  <w:vertAlign w:val="subscript"/>
                <w:lang w:val="en-US"/>
              </w:rPr>
              <w:t>i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 – объём бюджетных ассигнований ГРБС согласно сводной бюджетной росписи бюджета муниципального образования </w:t>
            </w:r>
            <w:r>
              <w:rPr>
                <w:rFonts w:ascii="Times New Roman" w:hAnsi="Times New Roman"/>
                <w:b w:val="false"/>
                <w:sz w:val="24"/>
                <w:szCs w:val="24"/>
              </w:rPr>
              <w:t>Кирпильское сельское поселение</w:t>
            </w: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  с учётом внесённых в неё изменений по состоянию на конец отчётного периода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"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Е (Р) = 1-Р/100,</w:t>
            </w:r>
          </w:p>
          <w:p>
            <w:pPr>
              <w:pStyle w:val="ConsPlusTitle"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если Р ≤ 15%;</w:t>
            </w:r>
          </w:p>
          <w:p>
            <w:pPr>
              <w:pStyle w:val="ConsPlusTitle"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</w:r>
          </w:p>
          <w:p>
            <w:pPr>
              <w:pStyle w:val="ConsPlusTitle"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 xml:space="preserve">Е (Р) = 0, </w:t>
            </w:r>
          </w:p>
          <w:p>
            <w:pPr>
              <w:pStyle w:val="ConsPlusTitle"/>
              <w:jc w:val="center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если Р &gt; 15%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Title"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 xml:space="preserve">Большое значение показателя свидетельствует о низком качестве работы ГРБС </w:t>
              <w:br/>
              <w:t>по финансовому планированию.</w:t>
            </w:r>
          </w:p>
          <w:p>
            <w:pPr>
              <w:pStyle w:val="ConsPlusTitle"/>
              <w:jc w:val="both"/>
              <w:rPr/>
            </w:pPr>
            <w:r>
              <w:rPr>
                <w:rFonts w:cs="Times New Roman" w:ascii="Times New Roman" w:hAnsi="Times New Roman"/>
                <w:b w:val="false"/>
                <w:spacing w:val="-4"/>
                <w:sz w:val="24"/>
                <w:szCs w:val="24"/>
              </w:rPr>
              <w:t>Целевым ориентиром является значение показателя менее 15%</w:t>
            </w:r>
          </w:p>
        </w:tc>
      </w:tr>
      <w:tr>
        <w:trPr>
          <w:trHeight w:val="282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Программно-целевое планирование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05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7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бюджетных ассигнований, формируемых в рамках муниципальных программ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7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 = 100 * </w:t>
            </w:r>
            <w:r>
              <w:rPr/>
              <w:drawing>
                <wp:inline distT="0" distB="0" distL="0" distR="0">
                  <wp:extent cx="409575" cy="228600"/>
                  <wp:effectExtent l="0" t="0" r="0" b="0"/>
                  <wp:docPr id="15" name="Рисунок 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>
            <w:pPr>
              <w:pStyle w:val="Normal"/>
              <w:widowControl w:val="false"/>
              <w:spacing w:lineRule="auto" w:line="247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где:</w:t>
            </w:r>
          </w:p>
          <w:p>
            <w:pPr>
              <w:pStyle w:val="Normal"/>
              <w:widowControl w:val="false"/>
              <w:spacing w:lineRule="auto" w:line="247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200025" cy="200025"/>
                  <wp:effectExtent l="0" t="0" r="0" b="0"/>
                  <wp:docPr id="16" name="Рисунок 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color w:val="000000"/>
                <w:position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  бюджетных  ассигнований ГРБС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отчётный (текущий) финансовый год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формируемых в рамках муниципальных программ;</w:t>
            </w:r>
          </w:p>
          <w:p>
            <w:pPr>
              <w:pStyle w:val="Normal"/>
              <w:widowControl w:val="false"/>
              <w:spacing w:lineRule="auto" w:line="247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180975" cy="200025"/>
                  <wp:effectExtent l="0" t="0" r="0" b="0"/>
                  <wp:docPr id="17" name="Рисунок 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position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общая сумма бюджетных ассигнований ГРБС, предусмотренная решением о бюджете муниципального образования Кирпильское сельское поселение  на отчётный (текущий) финансовый год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= </w:t>
            </w:r>
            <w:r>
              <w:rPr/>
              <w:drawing>
                <wp:inline distT="0" distB="0" distL="0" distR="0">
                  <wp:extent cx="276225" cy="390525"/>
                  <wp:effectExtent l="0" t="0" r="0" b="0"/>
                  <wp:docPr id="18" name="Рисунок 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7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Позитивно расценивается увеличение доли бюджетных ассигнований ГРБС на отчётный (текущий) финансовый год, утверждённых решением о бюджете муниципального образования Кирпильское сельское поселение  на отчётный (текущий) финансовый год, формируемых в рамках муниципальных программ</w:t>
            </w:r>
          </w:p>
        </w:tc>
      </w:tr>
      <w:tr>
        <w:trPr>
          <w:trHeight w:val="268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pacing w:val="-8"/>
                <w:sz w:val="24"/>
                <w:szCs w:val="24"/>
              </w:rPr>
              <w:t>Доля своевременно утвер-ждённых</w:t>
            </w:r>
            <w:r>
              <w:rPr>
                <w:rFonts w:ascii="Times New Roman" w:hAnsi="Times New Roman"/>
                <w:bCs/>
                <w:iCs/>
                <w:spacing w:val="-4"/>
                <w:sz w:val="24"/>
                <w:szCs w:val="24"/>
              </w:rPr>
              <w:t xml:space="preserve"> и внесённых изменений в планы-графики (далее – ПГ) </w:t>
              <w:br/>
              <w:t>реализации программ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 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/>
              <w:drawing>
                <wp:inline distT="0" distB="0" distL="0" distR="0">
                  <wp:extent cx="657225" cy="390525"/>
                  <wp:effectExtent l="0" t="0" r="0" b="0"/>
                  <wp:docPr id="19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Normal"/>
              <w:spacing w:lineRule="auto" w:line="228" w:before="0" w:after="0"/>
              <w:jc w:val="both"/>
              <w:rPr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Кпг – количество своевременно утверждённых ПГ в отчётном периоде;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Кви – общее количество вносимых изменений в муниципальную программу в отчётном 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>
              <w:rPr/>
              <w:drawing>
                <wp:inline distT="0" distB="0" distL="0" distR="0">
                  <wp:extent cx="276225" cy="390525"/>
                  <wp:effectExtent l="0" t="0" r="0" b="0"/>
                  <wp:docPr id="20" name="Рисунок 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68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7" w:before="0"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Кирпильское сельское поселение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информации о муниципальных программах и фактических результатах их реализации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7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информации о муниципальных программах и фактических результатах их реализации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7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(Р) = 1, если информация о муниципальных программах и фактических результатах их реализации размещена на официальном сайте;</w:t>
            </w:r>
          </w:p>
          <w:p>
            <w:pPr>
              <w:pStyle w:val="Normal"/>
              <w:spacing w:lineRule="auto" w:line="247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(Р) = 0, если информация о муниципальных программах и фактических результатах их реализации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 размещена на официальном сайте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Исполнение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по расходам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Кассовое исполнение расходов в отчётном периоде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 = 100 * Е/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– кассовое исполнение расходов ГРБС в отчётном периоде;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180975" cy="200025"/>
                  <wp:effectExtent l="0" t="0" r="0" b="0"/>
                  <wp:docPr id="21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position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общая сумма бюджетных ассигнований ГРБС, предусмотренная решением о бюджете муниципального образования Кирпильское сельское поселение  на отчётный (текущий) финансовый год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случае проведения мониторинга качества финансового менеджмента: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первый квартал: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30480</wp:posOffset>
                      </wp:positionV>
                      <wp:extent cx="155575" cy="445135"/>
                      <wp:effectExtent l="0" t="0" r="0" b="0"/>
                      <wp:wrapNone/>
                      <wp:docPr id="22" name="Левая фигурная скобка 3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800" cy="44460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242" h="697">
                                    <a:moveTo>
                                      <a:pt x="241" y="0"/>
                                    </a:moveTo>
                                    <a:cubicBezTo>
                                      <a:pt x="180" y="0"/>
                                      <a:pt x="120" y="29"/>
                                      <a:pt x="120" y="58"/>
                                    </a:cubicBezTo>
                                    <a:lnTo>
                                      <a:pt x="120" y="290"/>
                                    </a:lnTo>
                                    <a:cubicBezTo>
                                      <a:pt x="120" y="319"/>
                                      <a:pt x="60" y="348"/>
                                      <a:pt x="0" y="348"/>
                                    </a:cubicBezTo>
                                    <a:cubicBezTo>
                                      <a:pt x="60" y="348"/>
                                      <a:pt x="120" y="377"/>
                                      <a:pt x="120" y="406"/>
                                    </a:cubicBezTo>
                                    <a:lnTo>
                                      <a:pt x="120" y="638"/>
                                    </a:lnTo>
                                    <a:cubicBezTo>
                                      <a:pt x="120" y="667"/>
                                      <a:pt x="180" y="696"/>
                                      <a:pt x="241" y="696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Е (Р) = 1, если Р ≥ 25%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(Р) = 0, если Р &lt; 25%;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6 месяцев: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4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22225</wp:posOffset>
                      </wp:positionV>
                      <wp:extent cx="155575" cy="445135"/>
                      <wp:effectExtent l="0" t="0" r="0" b="0"/>
                      <wp:wrapNone/>
                      <wp:docPr id="23" name="Левая фигурная скобка 3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800" cy="44460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242" h="697">
                                    <a:moveTo>
                                      <a:pt x="241" y="0"/>
                                    </a:moveTo>
                                    <a:cubicBezTo>
                                      <a:pt x="180" y="0"/>
                                      <a:pt x="120" y="29"/>
                                      <a:pt x="120" y="58"/>
                                    </a:cubicBezTo>
                                    <a:lnTo>
                                      <a:pt x="120" y="290"/>
                                    </a:lnTo>
                                    <a:cubicBezTo>
                                      <a:pt x="120" y="319"/>
                                      <a:pt x="60" y="348"/>
                                      <a:pt x="0" y="348"/>
                                    </a:cubicBezTo>
                                    <a:cubicBezTo>
                                      <a:pt x="60" y="348"/>
                                      <a:pt x="120" y="377"/>
                                      <a:pt x="120" y="406"/>
                                    </a:cubicBezTo>
                                    <a:lnTo>
                                      <a:pt x="120" y="638"/>
                                    </a:lnTo>
                                    <a:cubicBezTo>
                                      <a:pt x="120" y="667"/>
                                      <a:pt x="180" y="696"/>
                                      <a:pt x="241" y="696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Е (Р) = 1, если Р ≥ 50%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(Р) = 0, если Р &lt; 50%;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9 месяцев: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5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2540</wp:posOffset>
                      </wp:positionV>
                      <wp:extent cx="155575" cy="445135"/>
                      <wp:effectExtent l="0" t="0" r="0" b="0"/>
                      <wp:wrapNone/>
                      <wp:docPr id="24" name="Левая фигурная скобка 3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800" cy="444600"/>
                              </a:xfrm>
                              <a:custGeom>
                                <a:avLst/>
                                <a:gdLst/>
                                <a:ahLst/>
                                <a:rect l="l" t="t" r="r" b="b"/>
                                <a:pathLst>
                                  <a:path w="242" h="697">
                                    <a:moveTo>
                                      <a:pt x="241" y="0"/>
                                    </a:moveTo>
                                    <a:cubicBezTo>
                                      <a:pt x="180" y="0"/>
                                      <a:pt x="120" y="29"/>
                                      <a:pt x="120" y="58"/>
                                    </a:cubicBezTo>
                                    <a:lnTo>
                                      <a:pt x="120" y="290"/>
                                    </a:lnTo>
                                    <a:cubicBezTo>
                                      <a:pt x="120" y="319"/>
                                      <a:pt x="60" y="348"/>
                                      <a:pt x="0" y="348"/>
                                    </a:cubicBezTo>
                                    <a:cubicBezTo>
                                      <a:pt x="60" y="348"/>
                                      <a:pt x="120" y="377"/>
                                      <a:pt x="120" y="406"/>
                                    </a:cubicBezTo>
                                    <a:lnTo>
                                      <a:pt x="120" y="638"/>
                                    </a:lnTo>
                                    <a:cubicBezTo>
                                      <a:pt x="120" y="667"/>
                                      <a:pt x="180" y="696"/>
                                      <a:pt x="241" y="696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/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Е (Р) = 1, если Р ≥ 75%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(Р) = 0, если Р &lt; 75%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характеризует уровень кассового исполнения расходов по отношению к общей сумме бюджетных ассигнований ГРБС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Снижение (рост) просроченной кредиторской задолженности ГРБС и подведомственных муниципальных</w:t>
            </w:r>
            <w:r>
              <w:rPr>
                <w:rFonts w:eastAsia="Calibri" w:ascii="Times New Roman" w:hAnsi="Times New Roman"/>
                <w:spacing w:val="-4"/>
                <w:sz w:val="24"/>
                <w:szCs w:val="24"/>
              </w:rPr>
              <w:t xml:space="preserve"> учреждений в отчётном периоде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Р = Ко/Кн,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Ко – объём просроченной кредиторской задолженности ГРБС и подведомственных муниципальных учреждений по состоянию на конец отчётного периода;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Кн – объём просроченной кредиторской задолженности ГРБС и подведомственных муниципальных учреждений по состоянию на начало отчётного года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Е (Р) = 1, если Р &lt; 1;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Е (Р) = 0,5, если Р = 1;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z w:val="24"/>
                <w:szCs w:val="24"/>
              </w:rPr>
              <w:t>Е (Р) = 0, если Р &gt;1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/>
                <w:spacing w:val="-4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pacing w:val="-4"/>
                <w:sz w:val="24"/>
                <w:szCs w:val="24"/>
              </w:rPr>
              <w:t>Положительно расценивается отсутствие просроченной кредиторской задолженности или снижение уровня просроченной кредиторской задолженности более чем на 10%.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spacing w:val="-4"/>
                <w:sz w:val="24"/>
                <w:szCs w:val="24"/>
              </w:rPr>
              <w:t>Целевым показателем для ГРБС является отсутствие просроченной кредиторской задолженности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Сумма, подлежащая взысканию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по исполнительным документам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 = 100 *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/Е, </w:t>
            </w:r>
          </w:p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сумма, подлежащая взысканию по поступившим с начала финансового года исполнительным документам за счёт средств бюджета муниципального образования Кирпильское сельское поселение, по состоянию на конец отчётного периода; </w:t>
            </w:r>
          </w:p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– кассовое исполнение расходов ГРБС в отчётном 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(P)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=</w:t>
            </w:r>
            <w:r>
              <w:rPr/>
              <w:drawing>
                <wp:inline distT="0" distB="0" distL="0" distR="0">
                  <wp:extent cx="1457325" cy="504825"/>
                  <wp:effectExtent l="0" t="0" r="0" b="0"/>
                  <wp:docPr id="25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Позитивно расценивается уменьшение суммы, подлежащей взысканию по поступившим с начала финансового года исполнительным документам за счёт средств бюджета муниципального образования Кирпильское сельское поселение, по состоянию на конец отчётного периода, по отношению к кассовому исполнению расходов ГРБС в отчётном периоде.</w:t>
            </w:r>
          </w:p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Целевым ориентиром для ГРБС является значение показателя, равное 0%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Исполнение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по доходам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Эффективность работы с невыясненными поступлениями в бюджет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 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 = 100 *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/Е, </w:t>
            </w:r>
          </w:p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объём невыясненных поступлений за отчётный период;</w:t>
            </w:r>
          </w:p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 – кассовое исполнение расходов ГРБС в отчётном периоде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= </w:t>
            </w:r>
            <w:r>
              <w:rPr/>
              <w:drawing>
                <wp:inline distT="0" distB="0" distL="0" distR="0">
                  <wp:extent cx="466725" cy="390525"/>
                  <wp:effectExtent l="0" t="0" r="0" b="0"/>
                  <wp:docPr id="26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Негативным считается факт увеличения объёма невыясненных поступлений за отчётный период. Целевым ориентиром является значение показателя 0%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 правовой базы ГАДБ по администрированию доходов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правовых актов </w:t>
            </w:r>
            <w:r>
              <w:rPr>
                <w:rFonts w:ascii="Times New Roman" w:hAnsi="Times New Roman"/>
                <w:sz w:val="24"/>
                <w:szCs w:val="24"/>
              </w:rPr>
              <w:t>ГАДБ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содержащих: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0" w:leader="none"/>
                <w:tab w:val="left" w:pos="220" w:leader="none"/>
              </w:tabs>
              <w:spacing w:lineRule="auto" w:line="235" w:before="0" w:after="0"/>
              <w:ind w:left="0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закрепление доходных источников </w:t>
            </w:r>
            <w:r>
              <w:rPr>
                <w:rFonts w:ascii="Times New Roman" w:hAnsi="Times New Roman"/>
                <w:sz w:val="24"/>
                <w:szCs w:val="24"/>
              </w:rPr>
              <w:t>бюджет муниципального образования 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за подведомственными администраторами доходов бюджета (далее – АДБ);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0" w:leader="none"/>
                <w:tab w:val="left" w:pos="220" w:leader="none"/>
              </w:tabs>
              <w:spacing w:lineRule="auto" w:line="235" w:before="0" w:after="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наделение подведомственных АДБ бюджетными полномочиями администратора;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32" w:leader="none"/>
                <w:tab w:val="left" w:pos="220" w:leader="none"/>
                <w:tab w:val="left" w:pos="316" w:leader="none"/>
              </w:tabs>
              <w:spacing w:lineRule="auto" w:line="235" w:before="0" w:after="0"/>
              <w:ind w:left="0"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порядка заполнения (составления) первичных документов для целей ведения бюджетного учёта по методу начисления;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32" w:leader="none"/>
                <w:tab w:val="left" w:pos="220" w:leader="none"/>
                <w:tab w:val="left" w:pos="460" w:leader="none"/>
              </w:tabs>
              <w:spacing w:lineRule="auto" w:line="235" w:before="0" w:after="0"/>
              <w:ind w:left="0"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порядок обмена информацией между структурными подразделениями АДБ при начислении платежей, уточнении вида и принадлежности платежей, принятии решений о возврате;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0" w:leader="none"/>
                <w:tab w:val="left" w:pos="32" w:leader="none"/>
                <w:tab w:val="left" w:pos="220" w:leader="none"/>
                <w:tab w:val="left" w:pos="460" w:leader="none"/>
              </w:tabs>
              <w:spacing w:lineRule="auto" w:line="235" w:before="0" w:after="0"/>
              <w:ind w:lef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порядок представления АДБ бюджетной отчётности ГАДБ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1, если правовой акт ГАДБ полностью соответствует требованиям пунктов 1-5 настоящей строки;</w:t>
            </w:r>
          </w:p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0,75, если правовой акт ГАДБ полностью соответствует требованиям пунктов 1-4 настоящей строки;</w:t>
            </w:r>
          </w:p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0,5, если правовой акт ГАДБ полностью соответствует требованиям пунктов 1 и 2 настоящей строки и не соответствует полностью или частично хотя бы одному из требований пунктов 3-5 настоящей строки;</w:t>
            </w:r>
          </w:p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0, если правовой акт ГАДБ полностью или частично не соответствует хотя бы одному из требований пунктов 1 и 2 настоящей строки и (или) двум и более требованиям пунктов 3-5 настоящей строки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 применяется для оценки правового обеспечения деятельности ГАДБ по осуществлению контроля за правильностью исчисления, полнотой и своевременностью уплаты, начисления, учёта, взыскания и принятия решений о возврате (зачёте) излишне уплаченных (взысканных) платежей, пеней и штрафов по ним, являющихся доходами бюджет муниципального образования 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Учёт и отчётность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качественной бюджетной отчётности в установленные сроки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бюджетной отчётности за отчётный период с соблюдением установленных сроков</w:t>
            </w:r>
            <w:r>
              <w:rPr>
                <w:rFonts w:eastAsia="Calibri" w:ascii="Times New Roman" w:hAnsi="Times New Roman"/>
                <w:sz w:val="24"/>
                <w:szCs w:val="24"/>
              </w:rPr>
              <w:t xml:space="preserve"> по формам, утверждённым приказом Министерства финансов Российской Федерации от 28.12.2010 № 191н «Об утверждении Инструкции о порядке составления и представления годовой, квартальной и месячной отчётности об исполнении бюджетов бюджетной системы Российской Федерации» (далее –  утверждённые формы)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= 1, если отчётность представлена с соблюдением установленных сроков;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= 0, если отчётность представлена с нарушением установленных сроков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оценки данного показателя позитивно рассматривается исполнение сроков представления качественной бюджетной отчётности</w:t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 и аудит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5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предписаний по фактам выявленных нарушений по результатам проверок органов внутреннего муниципального финансового контроля, внешнего муниципального финансового контроля, в том числе по подведомственным учреждениям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расчёте показателя оценивается наличие предписаний по фактам выявленных нарушений по результатам проверок органами внутреннего муниципального финансового контроля, внешнего муниципального финансового контроля, в том числе по подведомственным учреждениям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) = 1, если по результатам проверок органами внутреннего муниципального финансового контроля, внешнего муниципального финансового контроля, в том числе по подведомственным учреждениям, не выявлено фактов нарушений;</w:t>
            </w:r>
          </w:p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) = 0, если присутствуют предписания по фактам выявленных нарушений по результатам проверок органами внутреннего муниципального финансового контроля, внешнего муниципального финансового контроля, в том числе </w:t>
              <w:br/>
              <w:t>по подведомственным учреждениям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28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ectPr>
          <w:headerReference w:type="default" r:id="rId26"/>
          <w:headerReference w:type="first" r:id="rId27"/>
          <w:footnotePr>
            <w:numFmt w:val="decimal"/>
          </w:footnotePr>
          <w:type w:val="nextPage"/>
          <w:pgSz w:orient="landscape" w:w="16838" w:h="11906"/>
          <w:pgMar w:left="1134" w:right="1134" w:header="708" w:top="1701" w:footer="0" w:bottom="850" w:gutter="0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spacing w:lineRule="auto" w:line="192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</w:p>
    <w:p>
      <w:pPr>
        <w:pStyle w:val="Normal"/>
        <w:widowControl w:val="false"/>
        <w:spacing w:lineRule="auto" w:line="240" w:before="0" w:after="0"/>
        <w:ind w:left="6663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>
      <w:pPr>
        <w:pStyle w:val="Normal"/>
        <w:widowControl w:val="false"/>
        <w:spacing w:lineRule="auto" w:line="240" w:before="0" w:after="0"/>
        <w:ind w:left="6663" w:hanging="0"/>
        <w:jc w:val="center"/>
        <w:rPr/>
      </w:pPr>
      <w:r>
        <w:rPr>
          <w:rFonts w:ascii="Times New Roman" w:hAnsi="Times New Roman"/>
          <w:sz w:val="28"/>
          <w:szCs w:val="28"/>
        </w:rPr>
        <w:t>к Порядку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расчёта показателей ежегодного мониторинга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качества финансового менеджмента, осуществляемого главными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распорядителями средств бюджета муниципального образования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Кирпильское сельское поселение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___ _____________ 20____г.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bCs/>
          <w:iCs/>
          <w:sz w:val="28"/>
          <w:szCs w:val="28"/>
        </w:rPr>
        <w:t>Главный распорядитель средств бюджета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Кирпильское сельское поселение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Cs/>
          <w:iCs/>
          <w:sz w:val="28"/>
          <w:szCs w:val="28"/>
        </w:rPr>
        <w:t>________________</w:t>
      </w:r>
    </w:p>
    <w:tbl>
      <w:tblPr>
        <w:tblW w:w="4900" w:type="pct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93"/>
        <w:gridCol w:w="5996"/>
        <w:gridCol w:w="1373"/>
        <w:gridCol w:w="1204"/>
      </w:tblGrid>
      <w:tr>
        <w:trPr>
          <w:trHeight w:val="611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Значение</w:t>
            </w:r>
          </w:p>
        </w:tc>
      </w:tr>
    </w:tbl>
    <w:p>
      <w:pPr>
        <w:pStyle w:val="Normal"/>
        <w:spacing w:lineRule="auto" w:line="2"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4900" w:type="pct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93"/>
        <w:gridCol w:w="5996"/>
        <w:gridCol w:w="1851"/>
        <w:gridCol w:w="726"/>
      </w:tblGrid>
      <w:tr>
        <w:trPr>
          <w:tblHeader w:val="true"/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уведомлений об изменении бюджетных назначений сводной бюджетной росписи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Сумма положительных изменений сводной бюджетной росписи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(за исключением целевых поступлений из областного и федерального бюджетов и внесений изменений в решение о бюджете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 соответствующий период)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Объём бюджетных ассигнований главных распорядителей средств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(далее – ГРБС) согласно сводной бюджетной росписи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 учётом внесённых в неё изменений по состоянию на конец отчётного периода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Сумма бюджетных ассигнований ГРБС на отчётный (текущий) финансовый год, формируемых в рамках муниципальных программ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Общая сумма бюджетных ассигнований ГРБС, предусмотренная решением о бюджете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 отчётный (текущий) финансовый год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дней отклонений от установленного 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 xml:space="preserve">срока представления реестра расходных обязательств ГРБС до даты регистрации в муниципальное учреждение  финансовым отделом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pacing w:val="-4"/>
                <w:sz w:val="26"/>
                <w:szCs w:val="26"/>
              </w:rPr>
              <w:t>письма ГРБС, к которому приложен реестр расходных обязательств ГРБС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Дн.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Кассовое исполнение расходов ГРБС в отчётном </w:t>
              <w:br/>
              <w:t>периоде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Кассовые расходы ГРБС в четвёртом квартале отчётного финансового года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Средний объём кассовых расходов ГРБС </w:t>
              <w:br/>
              <w:t>за первый-третий кварталы отчётного финансового года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Объём просроченной кредиторской задолженности ГРБС и подведомственных муниципальных учреждений по состоянию на конец отчётного периода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Объём просроченной кредиторской задолженности ГРБС и подведомственных муниципальных учреждений по состоянию на начало отчётного периода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Объём кредиторской задолженности по расчётам </w:t>
              <w:br/>
              <w:t>с поставщиками и подрядчиками по состоянию             на 01 января года, следующего за отчётным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Объём дебиторской задолженности по расчётам </w:t>
              <w:br/>
              <w:t>с поставщиками и подрядчиками по состоянию             на 01 января года, следующего за отчётным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Тыс.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Сумма,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подлежащая взысканию по поступившим </w:t>
              <w:br/>
              <w:t>с начала финансового года исполнительным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документам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счёт средств бюджета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Кирпильское сельское поселение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состоянию на конец отчётного периода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Объём невыясненных поступлений по главному </w:t>
              <w:br/>
              <w:t xml:space="preserve">администратору доходов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за отчётный период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Тыс.</w:t>
            </w:r>
          </w:p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Правовой акт главного администратора доходов </w:t>
              <w:br/>
              <w:t xml:space="preserve">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администрированию доходов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Ссылка на размещение правового акта на официальном сайте </w:t>
            </w:r>
          </w:p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Размещение на официальном сайте администрации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информации о муниципальных программах и фактических результатах их реализации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Ссылка на размещение правового акта на официальном сайте </w:t>
            </w:r>
          </w:p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(далее – ссылка)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Размещение на официальном сайте администрации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муниципальных заданий на оказание муниципальных услуг (выполнение работ) муниципальными учреждениями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Ссылка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Размещение на официальном сайте администрации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отчёта об исполнении муниципальных заданий на оказание муниципальных услуг (выполнение работ) муниципальными учреждениями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Ссылка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Размещение на официальном сайте ИОГВ правового акта, устанавливающего порядок формирования </w:t>
              <w:br/>
              <w:t>независимой оценки качества работы организаций, оказывающих социальные услуги, включая определение критериев эффективности работы таких организаций и ведение публичных рейтингов их деятельности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Ссылка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Размещение на официальном сайте ИОГВ показателей планов финансово-хозяйственной деятельности или информации о бюджетных обязательствах муниципальных учреждений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Ссылка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муниципальных учреждений разместивших сведения на официальном сайте Российской Федерации для размещения информации о государственных (муниципальных) учреждениях bus.gov.ru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Общее количество муниципальных учреждений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50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097"/>
        <w:gridCol w:w="652"/>
        <w:gridCol w:w="3514"/>
        <w:gridCol w:w="1796"/>
      </w:tblGrid>
      <w:tr>
        <w:trPr>
          <w:trHeight w:val="300" w:hRule="atLeast"/>
        </w:trPr>
        <w:tc>
          <w:tcPr>
            <w:tcW w:w="9749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    __________________   __________________________________</w:t>
            </w:r>
          </w:p>
        </w:tc>
        <w:tc>
          <w:tcPr>
            <w:tcW w:w="3514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6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909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24"/>
                <w:szCs w:val="28"/>
              </w:rPr>
              <w:t>(подпись)                                   (расшифровка подписи)</w:t>
            </w:r>
          </w:p>
        </w:tc>
        <w:tc>
          <w:tcPr>
            <w:tcW w:w="652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514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6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5059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  ____________   ___________   ____________________   _________</w:t>
            </w:r>
          </w:p>
        </w:tc>
      </w:tr>
      <w:tr>
        <w:trPr>
          <w:trHeight w:val="300" w:hRule="atLeast"/>
        </w:trPr>
        <w:tc>
          <w:tcPr>
            <w:tcW w:w="13263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</w:t>
            </w:r>
            <w:r>
              <w:rPr>
                <w:rFonts w:ascii="Times New Roman" w:hAnsi="Times New Roman"/>
                <w:sz w:val="24"/>
                <w:szCs w:val="28"/>
              </w:rPr>
              <w:t>(должность)           (подпись)            (расшифровка подписи)         (телефон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96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360" w:before="0" w:after="0"/>
        <w:ind w:left="6237" w:hanging="0"/>
        <w:jc w:val="center"/>
        <w:rPr/>
      </w:pPr>
      <w:r>
        <w:rPr>
          <w:rFonts w:ascii="Times New Roman" w:hAnsi="Times New Roman"/>
          <w:sz w:val="28"/>
          <w:szCs w:val="28"/>
        </w:rPr>
        <w:t>Приложение № 4</w:t>
      </w:r>
    </w:p>
    <w:p>
      <w:pPr>
        <w:pStyle w:val="Normal"/>
        <w:widowControl w:val="false"/>
        <w:spacing w:lineRule="auto" w:line="240" w:before="0" w:after="0"/>
        <w:ind w:left="6237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расчёта показателей ежеквартального мониторинга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качества финансового менеджмента, осуществляемого главными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распорядителями средств бюджета муниципального образования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Кирпильское сельское поселение,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___ _____________ 20____г.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Главный распорядитель средств бюджета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bCs/>
          <w:iCs/>
          <w:sz w:val="28"/>
          <w:szCs w:val="28"/>
        </w:rPr>
        <w:t>муниципального образования Кирпильское сельское поселение 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</w:r>
    </w:p>
    <w:tbl>
      <w:tblPr>
        <w:tblW w:w="4900" w:type="pct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6"/>
        <w:gridCol w:w="5847"/>
        <w:gridCol w:w="1931"/>
        <w:gridCol w:w="782"/>
      </w:tblGrid>
      <w:tr>
        <w:trPr>
          <w:trHeight w:val="611" w:hRule="atLeast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Значение</w:t>
            </w:r>
          </w:p>
        </w:tc>
      </w:tr>
    </w:tbl>
    <w:p>
      <w:pPr>
        <w:pStyle w:val="Normal"/>
        <w:spacing w:lineRule="auto" w:line="2" w:before="0" w:after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tbl>
      <w:tblPr>
        <w:tblW w:w="150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5"/>
        <w:gridCol w:w="8102"/>
        <w:gridCol w:w="652"/>
        <w:gridCol w:w="856"/>
        <w:gridCol w:w="2658"/>
        <w:gridCol w:w="512"/>
        <w:gridCol w:w="1284"/>
      </w:tblGrid>
      <w:tr>
        <w:trPr>
          <w:tblHeader w:val="true"/>
          <w:trHeight w:val="57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</w:t>
            </w:r>
          </w:p>
        </w:tc>
      </w:tr>
      <w:tr>
        <w:trPr>
          <w:trHeight w:val="57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Количество уведомлений об изменении бюджетных назначений сводной бюджетной росписи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Сумма положительных изменений сводной бюджетной росписи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(за исключением целевых поступлений из областного и федерального бюджетов и внесений изменений в решение о бюджете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 соответствующий период)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>
        <w:trPr>
          <w:trHeight w:val="57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Объём бюджетных ассигнований главных распорядителей средств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(далее – ГРБС) согласно сводной бюджетной росписи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 учётом внесённых в неё изменений по состоянию на конец отчётного периода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Сумма бюджетных ассигнований ГРБС на отчётный (текущий) финансовый год, формируемых в рамках муниципальных программ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Общая сумма бюджетных ассигнований ГРБС, предусмотренная решением о бюджете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на отчётный (текущий) финансовый год 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Объём просроченной кредиторской задолжен-</w:t>
              <w:br/>
              <w:t>ности ГРБС и подведомственных муниципальных учреждений по состоянию на конец отчётного периода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>
        <w:trPr>
          <w:trHeight w:val="57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Объём просроченной кредиторской задолжен-</w:t>
              <w:br/>
              <w:t xml:space="preserve">ности ГРБС и подведомственных муниципальных учреждений по состоянию на начало отчётного периода 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Сумма,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подлежащая взысканию по поступившим </w:t>
              <w:br/>
              <w:t>с начала финансового года исполнительным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документам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счёт средств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состоянию на конец отчётного периода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Кассовое исполнение расходов ГРБС в отчётном периоде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Объём невыясненных поступлений по главному администратору доходов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за отчётный период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Тыс.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рублей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Правовой акт главного администратора доходов бюджета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 администрированию доходов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Ссылка на размещение правового акта на официальном сайте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57" w:hRule="atLeast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9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Размещение на официальном сайте ИОГВ информации о муниципальных программах и фактических результатах их реализации</w:t>
            </w:r>
          </w:p>
        </w:tc>
        <w:tc>
          <w:tcPr>
            <w:tcW w:w="3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Ссылка на размещение правового акта на официальном сайте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300" w:hRule="atLeast"/>
        </w:trPr>
        <w:tc>
          <w:tcPr>
            <w:tcW w:w="9749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    __________________   __________________________________</w:t>
            </w:r>
          </w:p>
        </w:tc>
        <w:tc>
          <w:tcPr>
            <w:tcW w:w="3514" w:type="dxa"/>
            <w:gridSpan w:val="2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6" w:type="dxa"/>
            <w:gridSpan w:val="2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909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24"/>
                <w:szCs w:val="28"/>
              </w:rPr>
              <w:t>(подпись)                                   (расшифровка подписи)</w:t>
            </w:r>
          </w:p>
        </w:tc>
        <w:tc>
          <w:tcPr>
            <w:tcW w:w="652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514" w:type="dxa"/>
            <w:gridSpan w:val="2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6" w:type="dxa"/>
            <w:gridSpan w:val="2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5059" w:type="dxa"/>
            <w:gridSpan w:val="7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  ____________   ___________   ____________________   _________</w:t>
            </w:r>
          </w:p>
        </w:tc>
      </w:tr>
      <w:tr>
        <w:trPr>
          <w:trHeight w:val="300" w:hRule="atLeast"/>
        </w:trPr>
        <w:tc>
          <w:tcPr>
            <w:tcW w:w="13263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</w:t>
            </w:r>
            <w:r>
              <w:rPr>
                <w:rFonts w:ascii="Times New Roman" w:hAnsi="Times New Roman"/>
                <w:sz w:val="24"/>
                <w:szCs w:val="28"/>
              </w:rPr>
              <w:t>(должность)           (подпись)            (расшифровка подписи)         (телефон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96" w:type="dxa"/>
            <w:gridSpan w:val="2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360" w:before="0" w:after="0"/>
        <w:ind w:left="6237" w:hanging="0"/>
        <w:jc w:val="center"/>
        <w:rPr/>
      </w:pPr>
      <w:r>
        <w:rPr>
          <w:rFonts w:ascii="Times New Roman" w:hAnsi="Times New Roman"/>
          <w:sz w:val="28"/>
          <w:szCs w:val="28"/>
        </w:rPr>
        <w:t>Приложение № 5</w:t>
      </w:r>
    </w:p>
    <w:p>
      <w:pPr>
        <w:pStyle w:val="Normal"/>
        <w:widowControl w:val="false"/>
        <w:spacing w:lineRule="auto" w:line="240" w:before="0" w:after="0"/>
        <w:ind w:left="6237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суммах бюджетных ассигнований на финансовое обеспечение </w:t>
        <w:br/>
        <w:t>муниципальных программ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___ _____________ 20____г.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bCs/>
          <w:iCs/>
          <w:sz w:val="28"/>
          <w:szCs w:val="28"/>
        </w:rPr>
        <w:t>Главный распорядитель средств бюджета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Кирпильское сельское поселение______________________________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Периодичность: ежеквартальная, годовая</w:t>
      </w:r>
    </w:p>
    <w:tbl>
      <w:tblPr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20___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(отчётный (текущий) год)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Единица измерения: тыс. рублей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2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Бюджетные ассигнования на реализацию муниципальных программ, всего: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в том числе: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1.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2.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Бюджетные ассигнования главного распорядителя средств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, предусмотренные решением о бюджете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на очередной (текущий) финансовый год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</w:r>
    </w:p>
    <w:tbl>
      <w:tblPr>
        <w:tblW w:w="150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49"/>
        <w:gridCol w:w="797"/>
        <w:gridCol w:w="1197"/>
        <w:gridCol w:w="2214"/>
        <w:gridCol w:w="640"/>
        <w:gridCol w:w="652"/>
        <w:gridCol w:w="3515"/>
        <w:gridCol w:w="1794"/>
      </w:tblGrid>
      <w:tr>
        <w:trPr>
          <w:trHeight w:val="300" w:hRule="atLeast"/>
        </w:trPr>
        <w:tc>
          <w:tcPr>
            <w:tcW w:w="9749" w:type="dxa"/>
            <w:gridSpan w:val="6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    __________________   __________________________________</w:t>
            </w:r>
          </w:p>
        </w:tc>
        <w:tc>
          <w:tcPr>
            <w:tcW w:w="3515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4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9097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24"/>
                <w:szCs w:val="28"/>
              </w:rPr>
              <w:t>(подпись)                                   (расшифровка подписи)</w:t>
            </w:r>
          </w:p>
        </w:tc>
        <w:tc>
          <w:tcPr>
            <w:tcW w:w="652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515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4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24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9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1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52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515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4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5058" w:type="dxa"/>
            <w:gridSpan w:val="8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  ____________   ___________   ____________________   _________</w:t>
            </w:r>
          </w:p>
        </w:tc>
      </w:tr>
      <w:tr>
        <w:trPr>
          <w:trHeight w:val="300" w:hRule="atLeast"/>
        </w:trPr>
        <w:tc>
          <w:tcPr>
            <w:tcW w:w="13264" w:type="dxa"/>
            <w:gridSpan w:val="7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</w:t>
            </w:r>
            <w:r>
              <w:rPr>
                <w:rFonts w:ascii="Times New Roman" w:hAnsi="Times New Roman"/>
                <w:sz w:val="24"/>
                <w:szCs w:val="28"/>
              </w:rPr>
              <w:t>(должность)           (подпись)            (расшифровка подписи)         (телефон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94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24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9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1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52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515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4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8457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  _________________20 ___   г.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40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652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515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94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headerReference w:type="default" r:id="rId28"/>
          <w:footnotePr>
            <w:numFmt w:val="decimal"/>
          </w:footnotePr>
          <w:type w:val="nextPage"/>
          <w:pgSz w:w="11906" w:h="16838"/>
          <w:pgMar w:left="1701" w:right="850" w:header="708" w:top="1134" w:footer="0" w:bottom="1134" w:gutter="0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widowControl w:val="false"/>
        <w:spacing w:lineRule="auto" w:line="360" w:before="0" w:after="0"/>
        <w:ind w:left="1134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6</w:t>
      </w:r>
    </w:p>
    <w:p>
      <w:pPr>
        <w:pStyle w:val="Normal"/>
        <w:widowControl w:val="false"/>
        <w:spacing w:lineRule="auto" w:line="360" w:before="0" w:after="0"/>
        <w:ind w:left="1134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организации внутреннего финансового контроля и внутреннего финансового аудита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___ _____________ 20____г.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Cs/>
          <w:iCs/>
          <w:sz w:val="28"/>
          <w:szCs w:val="28"/>
          <w:u w:val="single"/>
        </w:rPr>
        <w:t>Финансовый отдел  муниципального образования  Кирпильское сельское поселение,</w:t>
      </w:r>
    </w:p>
    <w:p>
      <w:pPr>
        <w:pStyle w:val="Normal"/>
        <w:spacing w:lineRule="auto" w:line="240" w:before="0" w:after="0"/>
        <w:ind w:right="-314" w:hanging="0"/>
        <w:rPr>
          <w:rFonts w:ascii="Times New Roman" w:hAnsi="Times New Roman"/>
          <w:bCs/>
          <w:iCs/>
          <w:sz w:val="28"/>
          <w:szCs w:val="28"/>
          <w:u w:val="single"/>
        </w:rPr>
      </w:pPr>
      <w:r>
        <w:rPr>
          <w:rFonts w:ascii="Times New Roman" w:hAnsi="Times New Roman"/>
          <w:bCs/>
          <w:iCs/>
          <w:sz w:val="28"/>
          <w:szCs w:val="28"/>
          <w:u w:val="single"/>
        </w:rPr>
        <w:t xml:space="preserve">главный распорядитель средств бюджета муниципального образования Кирпильское сельское поселение 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Периодичность: ежеквартальная, годовая</w:t>
      </w:r>
    </w:p>
    <w:tbl>
      <w:tblPr>
        <w:tblW w:w="1499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809"/>
        <w:gridCol w:w="1132"/>
        <w:gridCol w:w="1289"/>
        <w:gridCol w:w="414"/>
        <w:gridCol w:w="379"/>
        <w:gridCol w:w="754"/>
        <w:gridCol w:w="438"/>
        <w:gridCol w:w="696"/>
        <w:gridCol w:w="1136"/>
        <w:gridCol w:w="372"/>
        <w:gridCol w:w="634"/>
        <w:gridCol w:w="126"/>
        <w:gridCol w:w="525"/>
        <w:gridCol w:w="1177"/>
        <w:gridCol w:w="1560"/>
        <w:gridCol w:w="757"/>
        <w:gridCol w:w="377"/>
        <w:gridCol w:w="1416"/>
      </w:tblGrid>
      <w:tr>
        <w:trPr/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Наименование главного </w:t>
              <w:br/>
              <w:t xml:space="preserve">распорядителя средств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правовых актов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главных распорядителей средств бюджета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требованиям к организации внутреннего финансового контроля и внутреннего финансового аудита, </w:t>
              <w:br/>
              <w:t xml:space="preserve">установленным нормативными правовыми </w:t>
              <w:br/>
              <w:t xml:space="preserve">актами Министерства финансов Российской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Федерации и Администрации Владимирской области</w:t>
            </w:r>
          </w:p>
        </w:tc>
        <w:tc>
          <w:tcPr>
            <w:tcW w:w="4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в должностных регламентах должностных лиц и положениях о структурных подразделениях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главных распорядителей средств бюджета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Кирпильское сельское поселение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положений о правах и обязанностях, связанных с осуществлением внутреннего финансового контроля и внутреннего финансового аудита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35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количество подразделений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главных распорядителей средств 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поселение, ответственных </w:t>
              <w:br/>
              <w:t>за результаты выполнения внутренних бюджетных процедур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35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подразделений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главных распорядителей средств </w:t>
              <w:br/>
              <w:t xml:space="preserve">бюджета муниципального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Кирпильское сельское поселение, для которых </w:t>
              <w:br/>
              <w:t xml:space="preserve">утверждены карты внутреннего </w:t>
              <w:br/>
              <w:t>финансового контроля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35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предписаний по фактам выявленных нарушений </w:t>
              <w:br/>
              <w:t>по результатам проверок органов внутреннего финансового контроля, внешнего ого финансового контроля, в том числе по подведомственным учреждениям</w:t>
            </w:r>
          </w:p>
        </w:tc>
      </w:tr>
      <w:tr>
        <w:trPr/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соответствует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не соответствует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положения </w:t>
              <w:br/>
              <w:t>определены для всех уполномоченных должностных лиц в полном объёме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определены для всех уполномоченных должностных лиц, но не в полном объёме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определены </w:t>
              <w:br/>
              <w:t>не для всех уполномоченных должностных лиц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положения </w:t>
              <w:br/>
              <w:t>не определены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нарушений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не выявлено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выявлены нарушения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(кол-во предписаний)</w:t>
            </w:r>
          </w:p>
        </w:tc>
      </w:tr>
      <w:tr>
        <w:trPr/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>
        <w:trPr/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</w:r>
          </w:p>
        </w:tc>
        <w:tc>
          <w:tcPr>
            <w:tcW w:w="1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9704" w:type="dxa"/>
            <w:gridSpan w:val="13"/>
            <w:tcBorders/>
            <w:shd w:color="auto" w:fill="auto" w:val="clear"/>
            <w:vAlign w:val="bottom"/>
          </w:tcPr>
          <w:p>
            <w:pPr>
              <w:pStyle w:val="Normal"/>
              <w:tabs>
                <w:tab w:val="clear" w:pos="708"/>
                <w:tab w:val="left" w:pos="5070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5070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5070" w:leader="none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left" w:pos="5070" w:leader="none"/>
              </w:tabs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Руководитель     __________________   _________________________________        </w:t>
            </w:r>
          </w:p>
        </w:tc>
        <w:tc>
          <w:tcPr>
            <w:tcW w:w="1177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57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77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9053" w:type="dxa"/>
            <w:gridSpan w:val="11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     </w:t>
            </w:r>
            <w:r>
              <w:rPr>
                <w:rFonts w:ascii="Times New Roman" w:hAnsi="Times New Roman"/>
                <w:sz w:val="24"/>
                <w:szCs w:val="28"/>
              </w:rPr>
              <w:t>(подпись)                                   (расшифровка подписи)</w:t>
            </w:r>
          </w:p>
        </w:tc>
        <w:tc>
          <w:tcPr>
            <w:tcW w:w="126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25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77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57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77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230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3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92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04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34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6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25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77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57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77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14991" w:type="dxa"/>
            <w:gridSpan w:val="18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Исполнитель  ____________   ___________   ____________________   _________</w:t>
            </w:r>
          </w:p>
        </w:tc>
      </w:tr>
      <w:tr>
        <w:trPr>
          <w:trHeight w:val="300" w:hRule="atLeast"/>
        </w:trPr>
        <w:tc>
          <w:tcPr>
            <w:tcW w:w="13198" w:type="dxa"/>
            <w:gridSpan w:val="16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 </w:t>
            </w:r>
            <w:r>
              <w:rPr>
                <w:rFonts w:ascii="Times New Roman" w:hAnsi="Times New Roman"/>
                <w:sz w:val="24"/>
                <w:szCs w:val="28"/>
              </w:rPr>
              <w:t>(должность)           (подпись)            (расшифровка подписи)       (телефон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77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230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793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92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204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34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6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25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77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57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77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8419" w:type="dxa"/>
            <w:gridSpan w:val="10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  _________________20 ___   г.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34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6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25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77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60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57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77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6" w:type="dxa"/>
            <w:tcBorders/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sectPr>
      <w:headerReference w:type="default" r:id="rId29"/>
      <w:headerReference w:type="first" r:id="rId30"/>
      <w:footnotePr>
        <w:numFmt w:val="decimal"/>
      </w:footnotePr>
      <w:type w:val="nextPage"/>
      <w:pgSz w:orient="landscape" w:w="16838" w:h="11906"/>
      <w:pgMar w:left="1134" w:right="1134" w:header="708" w:top="765" w:footer="0" w:bottom="850" w:gutter="0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Symbol"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rmal"/>
        <w:spacing w:lineRule="auto" w:line="240" w:before="0" w:after="0"/>
        <w:ind w:right="-456" w:hanging="0"/>
        <w:jc w:val="both"/>
        <w:rPr>
          <w:rFonts w:ascii="Times New Roman" w:hAnsi="Times New Roman"/>
          <w:sz w:val="24"/>
          <w:szCs w:val="24"/>
        </w:rPr>
      </w:pPr>
      <w:r>
        <w:rPr>
          <w:rStyle w:val="Style20"/>
        </w:rPr>
        <w:footnoteRef/>
      </w:r>
      <w:r>
        <w:rPr/>
        <w:t xml:space="preserve"> </w:t>
      </w:r>
      <w:r>
        <w:rPr>
          <w:rFonts w:ascii="Times New Roman" w:hAnsi="Times New Roman"/>
          <w:sz w:val="24"/>
          <w:szCs w:val="24"/>
        </w:rPr>
        <w:t xml:space="preserve">Для ГРБС, имеющих подведомственные организации, оказывающие социальные услуги, дополнительно включается размещение результатов независимой оценки качества работы. </w:t>
      </w:r>
    </w:p>
    <w:p>
      <w:pPr>
        <w:pStyle w:val="Style33"/>
        <w:rPr/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spacing w:lineRule="auto" w:line="240" w:before="0" w:after="0"/>
      <w:rPr/>
    </w:pPr>
    <w:r>
      <w:rPr>
        <w:lang w:val="en-US"/>
      </w:rPr>
      <w:t xml:space="preserve">                                                                                           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spacing w:lineRule="auto" w:line="240" w:before="0" w:after="0"/>
      <w:jc w:val="center"/>
      <w:rPr/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0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spacing w:before="0" w:after="200"/>
      <w:rPr>
        <w:lang w:val="en-US"/>
      </w:rPr>
    </w:pPr>
    <w:r>
      <w:rPr>
        <w:lang w:val="en-US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spacing w:lineRule="auto" w:line="240" w:before="0" w:after="0"/>
      <w:jc w:val="center"/>
      <w:rPr/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0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tabs>
        <w:tab w:val="center" w:pos="4677" w:leader="none"/>
        <w:tab w:val="right" w:pos="9355" w:leader="none"/>
      </w:tabs>
      <w:spacing w:before="0" w:after="200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tabs>
        <w:tab w:val="center" w:pos="4677" w:leader="none"/>
        <w:tab w:val="right" w:pos="9355" w:leader="none"/>
      </w:tabs>
      <w:spacing w:before="0" w:after="200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spacing w:lineRule="auto" w:line="240" w:before="0" w:after="0"/>
      <w:jc w:val="center"/>
      <w:rPr/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0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9"/>
      <w:tabs>
        <w:tab w:val="center" w:pos="4677" w:leader="none"/>
        <w:tab w:val="right" w:pos="9355" w:leader="none"/>
      </w:tabs>
      <w:spacing w:before="0" w:after="20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2"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64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64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page number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Body Text 2" w:uiPriority="0"/>
    <w:lsdException w:name="Body Tex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b0d83"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b15e1c"/>
    <w:pPr>
      <w:keepNext w:val="true"/>
      <w:spacing w:lineRule="auto" w:line="240" w:before="0" w:after="0"/>
      <w:outlineLvl w:val="0"/>
    </w:pPr>
    <w:rPr>
      <w:rFonts w:ascii="Arial" w:hAnsi="Arial" w:cs="Arial"/>
      <w:b/>
      <w:bCs/>
      <w:sz w:val="20"/>
      <w:szCs w:val="20"/>
    </w:rPr>
  </w:style>
  <w:style w:type="paragraph" w:styleId="2">
    <w:name w:val="Heading 2"/>
    <w:basedOn w:val="Normal"/>
    <w:next w:val="Normal"/>
    <w:link w:val="20"/>
    <w:qFormat/>
    <w:rsid w:val="00b15e1c"/>
    <w:pPr>
      <w:keepNext w:val="true"/>
      <w:spacing w:lineRule="auto" w:line="240" w:before="0" w:after="0"/>
      <w:jc w:val="center"/>
      <w:outlineLvl w:val="1"/>
    </w:pPr>
    <w:rPr>
      <w:rFonts w:ascii="Arial" w:hAnsi="Arial" w:cs="Arial"/>
      <w:sz w:val="20"/>
      <w:szCs w:val="20"/>
      <w:lang w:val="en-US"/>
    </w:rPr>
  </w:style>
  <w:style w:type="paragraph" w:styleId="3">
    <w:name w:val="Heading 3"/>
    <w:basedOn w:val="Normal"/>
    <w:next w:val="Normal"/>
    <w:link w:val="30"/>
    <w:qFormat/>
    <w:rsid w:val="00b15e1c"/>
    <w:pPr>
      <w:keepNext w:val="true"/>
      <w:spacing w:lineRule="auto" w:line="240" w:before="0" w:after="0"/>
      <w:jc w:val="center"/>
      <w:outlineLvl w:val="2"/>
    </w:pPr>
    <w:rPr>
      <w:rFonts w:ascii="Times New Roman" w:hAnsi="Times New Roman"/>
      <w:sz w:val="24"/>
      <w:szCs w:val="24"/>
    </w:rPr>
  </w:style>
  <w:style w:type="paragraph" w:styleId="4">
    <w:name w:val="Heading 4"/>
    <w:basedOn w:val="Normal"/>
    <w:next w:val="Normal"/>
    <w:link w:val="40"/>
    <w:qFormat/>
    <w:rsid w:val="00b15e1c"/>
    <w:pPr>
      <w:keepNext w:val="true"/>
      <w:spacing w:lineRule="auto" w:line="240" w:before="0" w:after="0"/>
      <w:jc w:val="both"/>
      <w:outlineLvl w:val="3"/>
    </w:pPr>
    <w:rPr>
      <w:rFonts w:ascii="Arial" w:hAnsi="Arial" w:cs="Arial"/>
      <w:b/>
      <w:bCs/>
      <w:sz w:val="20"/>
      <w:szCs w:val="20"/>
    </w:rPr>
  </w:style>
  <w:style w:type="paragraph" w:styleId="5">
    <w:name w:val="Heading 5"/>
    <w:basedOn w:val="Normal"/>
    <w:next w:val="Normal"/>
    <w:link w:val="50"/>
    <w:qFormat/>
    <w:rsid w:val="00b15e1c"/>
    <w:pPr>
      <w:keepNext w:val="true"/>
      <w:spacing w:lineRule="auto" w:line="240" w:before="0" w:after="0"/>
      <w:outlineLvl w:val="4"/>
    </w:pPr>
    <w:rPr>
      <w:rFonts w:ascii="Arial" w:hAnsi="Arial"/>
      <w:sz w:val="20"/>
      <w:szCs w:val="24"/>
    </w:rPr>
  </w:style>
  <w:style w:type="paragraph" w:styleId="6">
    <w:name w:val="Heading 6"/>
    <w:basedOn w:val="Normal"/>
    <w:next w:val="Normal"/>
    <w:link w:val="60"/>
    <w:qFormat/>
    <w:rsid w:val="00b15e1c"/>
    <w:pPr>
      <w:keepNext w:val="true"/>
      <w:spacing w:lineRule="auto" w:line="240" w:before="0" w:after="0"/>
      <w:outlineLvl w:val="5"/>
    </w:pPr>
    <w:rPr>
      <w:rFonts w:ascii="Arial" w:hAnsi="Arial"/>
      <w:b/>
      <w:caps/>
      <w:sz w:val="20"/>
      <w:szCs w:val="24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b15e1c"/>
    <w:rPr>
      <w:rFonts w:ascii="Arial" w:hAnsi="Arial" w:eastAsia="Times New Roman" w:cs="Arial"/>
      <w:b/>
      <w:bCs/>
    </w:rPr>
  </w:style>
  <w:style w:type="character" w:styleId="21" w:customStyle="1">
    <w:name w:val="Заголовок 2 Знак"/>
    <w:basedOn w:val="DefaultParagraphFont"/>
    <w:link w:val="2"/>
    <w:qFormat/>
    <w:rsid w:val="00b15e1c"/>
    <w:rPr>
      <w:rFonts w:ascii="Arial" w:hAnsi="Arial" w:eastAsia="Times New Roman" w:cs="Arial"/>
      <w:lang w:val="en-US"/>
    </w:rPr>
  </w:style>
  <w:style w:type="character" w:styleId="31" w:customStyle="1">
    <w:name w:val="Заголовок 3 Знак"/>
    <w:basedOn w:val="DefaultParagraphFont"/>
    <w:link w:val="3"/>
    <w:qFormat/>
    <w:rsid w:val="00b15e1c"/>
    <w:rPr>
      <w:rFonts w:ascii="Times New Roman" w:hAnsi="Times New Roman" w:eastAsia="Times New Roman"/>
      <w:sz w:val="24"/>
      <w:szCs w:val="24"/>
    </w:rPr>
  </w:style>
  <w:style w:type="character" w:styleId="41" w:customStyle="1">
    <w:name w:val="Заголовок 4 Знак"/>
    <w:basedOn w:val="DefaultParagraphFont"/>
    <w:link w:val="4"/>
    <w:qFormat/>
    <w:rsid w:val="00b15e1c"/>
    <w:rPr>
      <w:rFonts w:ascii="Arial" w:hAnsi="Arial" w:eastAsia="Times New Roman" w:cs="Arial"/>
      <w:b/>
      <w:bCs/>
    </w:rPr>
  </w:style>
  <w:style w:type="character" w:styleId="51" w:customStyle="1">
    <w:name w:val="Заголовок 5 Знак"/>
    <w:basedOn w:val="DefaultParagraphFont"/>
    <w:link w:val="5"/>
    <w:qFormat/>
    <w:rsid w:val="00b15e1c"/>
    <w:rPr>
      <w:rFonts w:ascii="Arial" w:hAnsi="Arial" w:eastAsia="Times New Roman"/>
      <w:szCs w:val="24"/>
    </w:rPr>
  </w:style>
  <w:style w:type="character" w:styleId="61" w:customStyle="1">
    <w:name w:val="Заголовок 6 Знак"/>
    <w:basedOn w:val="DefaultParagraphFont"/>
    <w:link w:val="6"/>
    <w:qFormat/>
    <w:rsid w:val="00b15e1c"/>
    <w:rPr>
      <w:rFonts w:ascii="Arial" w:hAnsi="Arial" w:eastAsia="Times New Roman"/>
      <w:b/>
      <w:caps/>
      <w:szCs w:val="24"/>
      <w:u w:val="single"/>
    </w:rPr>
  </w:style>
  <w:style w:type="character" w:styleId="Style8" w:customStyle="1">
    <w:name w:val="Верхний колонтитул Знак"/>
    <w:link w:val="a3"/>
    <w:uiPriority w:val="99"/>
    <w:qFormat/>
    <w:rsid w:val="000d2c58"/>
    <w:rPr>
      <w:rFonts w:eastAsia="Times New Roman"/>
      <w:sz w:val="22"/>
      <w:szCs w:val="22"/>
    </w:rPr>
  </w:style>
  <w:style w:type="character" w:styleId="Style9" w:customStyle="1">
    <w:name w:val="Нижний колонтитул Знак"/>
    <w:link w:val="a5"/>
    <w:uiPriority w:val="99"/>
    <w:qFormat/>
    <w:rsid w:val="000d2c58"/>
    <w:rPr>
      <w:rFonts w:eastAsia="Times New Roman"/>
      <w:sz w:val="22"/>
      <w:szCs w:val="22"/>
    </w:rPr>
  </w:style>
  <w:style w:type="character" w:styleId="Style10" w:customStyle="1">
    <w:name w:val="Текст выноски Знак"/>
    <w:link w:val="a7"/>
    <w:uiPriority w:val="99"/>
    <w:semiHidden/>
    <w:qFormat/>
    <w:rsid w:val="00995ede"/>
    <w:rPr>
      <w:rFonts w:ascii="Tahoma" w:hAnsi="Tahoma" w:eastAsia="Times New Roman" w:cs="Tahoma"/>
      <w:sz w:val="16"/>
      <w:szCs w:val="16"/>
    </w:rPr>
  </w:style>
  <w:style w:type="character" w:styleId="Style11" w:customStyle="1">
    <w:name w:val="Основной текст Знак"/>
    <w:basedOn w:val="DefaultParagraphFont"/>
    <w:link w:val="ab"/>
    <w:semiHidden/>
    <w:qFormat/>
    <w:rsid w:val="00b15e1c"/>
    <w:rPr>
      <w:rFonts w:ascii="Times New Roman" w:hAnsi="Times New Roman" w:eastAsia="Times New Roman"/>
      <w:sz w:val="28"/>
      <w:szCs w:val="24"/>
    </w:rPr>
  </w:style>
  <w:style w:type="character" w:styleId="Pagenumber">
    <w:name w:val="page number"/>
    <w:basedOn w:val="DefaultParagraphFont"/>
    <w:qFormat/>
    <w:rsid w:val="00b15e1c"/>
    <w:rPr>
      <w:rFonts w:cs="Times New Roman"/>
    </w:rPr>
  </w:style>
  <w:style w:type="character" w:styleId="Style12" w:customStyle="1">
    <w:name w:val="Обычный (веб) Знак"/>
    <w:basedOn w:val="DefaultParagraphFont"/>
    <w:link w:val="ad"/>
    <w:uiPriority w:val="99"/>
    <w:qFormat/>
    <w:locked/>
    <w:rsid w:val="00b15e1c"/>
    <w:rPr>
      <w:rFonts w:ascii="Times New Roman" w:hAnsi="Times New Roman" w:eastAsia="Times New Roman"/>
      <w:sz w:val="24"/>
      <w:szCs w:val="24"/>
    </w:rPr>
  </w:style>
  <w:style w:type="character" w:styleId="12" w:customStyle="1">
    <w:name w:val="Стиль1 Знак"/>
    <w:basedOn w:val="DefaultParagraphFont"/>
    <w:link w:val="12"/>
    <w:uiPriority w:val="99"/>
    <w:qFormat/>
    <w:locked/>
    <w:rsid w:val="00b15e1c"/>
    <w:rPr>
      <w:sz w:val="28"/>
    </w:rPr>
  </w:style>
  <w:style w:type="character" w:styleId="Style13" w:customStyle="1">
    <w:name w:val="Схема документа Знак"/>
    <w:basedOn w:val="DefaultParagraphFont"/>
    <w:link w:val="af0"/>
    <w:uiPriority w:val="99"/>
    <w:semiHidden/>
    <w:qFormat/>
    <w:rsid w:val="00b15e1c"/>
    <w:rPr>
      <w:rFonts w:ascii="Tahoma" w:hAnsi="Tahoma" w:eastAsia="Times New Roman" w:cs="Tahoma"/>
      <w:sz w:val="16"/>
      <w:szCs w:val="16"/>
    </w:rPr>
  </w:style>
  <w:style w:type="character" w:styleId="Style14">
    <w:name w:val="Интернет-ссылка"/>
    <w:basedOn w:val="DefaultParagraphFont"/>
    <w:uiPriority w:val="99"/>
    <w:unhideWhenUsed/>
    <w:rsid w:val="00b15e1c"/>
    <w:rPr>
      <w:color w:val="0000FF"/>
      <w:u w:val="single"/>
    </w:rPr>
  </w:style>
  <w:style w:type="character" w:styleId="Style15" w:customStyle="1">
    <w:name w:val="Основной текст с отступом Знак"/>
    <w:basedOn w:val="DefaultParagraphFont"/>
    <w:link w:val="af2"/>
    <w:qFormat/>
    <w:rsid w:val="00b15e1c"/>
    <w:rPr>
      <w:rFonts w:ascii="Times New Roman" w:hAnsi="Times New Roman" w:eastAsia="Times New Roman"/>
      <w:sz w:val="24"/>
      <w:szCs w:val="24"/>
    </w:rPr>
  </w:style>
  <w:style w:type="character" w:styleId="Style16" w:customStyle="1">
    <w:name w:val="Название Знак"/>
    <w:basedOn w:val="DefaultParagraphFont"/>
    <w:link w:val="af4"/>
    <w:qFormat/>
    <w:rsid w:val="00b15e1c"/>
    <w:rPr>
      <w:rFonts w:ascii="Times New Roman" w:hAnsi="Times New Roman" w:eastAsia="Times New Roman"/>
      <w:b/>
      <w:bCs/>
      <w:sz w:val="24"/>
      <w:szCs w:val="24"/>
    </w:rPr>
  </w:style>
  <w:style w:type="character" w:styleId="Style17" w:customStyle="1">
    <w:name w:val="Текст сноски Знак"/>
    <w:basedOn w:val="DefaultParagraphFont"/>
    <w:link w:val="af7"/>
    <w:semiHidden/>
    <w:qFormat/>
    <w:rsid w:val="00b15e1c"/>
    <w:rPr>
      <w:rFonts w:ascii="Times New Roman" w:hAnsi="Times New Roman" w:eastAsia="Times New Roman"/>
    </w:rPr>
  </w:style>
  <w:style w:type="character" w:styleId="13" w:customStyle="1">
    <w:name w:val="Текст сноски Знак1"/>
    <w:basedOn w:val="DefaultParagraphFont"/>
    <w:uiPriority w:val="99"/>
    <w:semiHidden/>
    <w:qFormat/>
    <w:rsid w:val="00b15e1c"/>
    <w:rPr>
      <w:rFonts w:eastAsia="Times New Roman"/>
    </w:rPr>
  </w:style>
  <w:style w:type="character" w:styleId="Style18" w:customStyle="1">
    <w:name w:val="Текст примечания Знак"/>
    <w:basedOn w:val="DefaultParagraphFont"/>
    <w:link w:val="af9"/>
    <w:semiHidden/>
    <w:qFormat/>
    <w:rsid w:val="00b15e1c"/>
    <w:rPr>
      <w:rFonts w:ascii="Times New Roman" w:hAnsi="Times New Roman" w:eastAsia="Times New Roman"/>
    </w:rPr>
  </w:style>
  <w:style w:type="character" w:styleId="14" w:customStyle="1">
    <w:name w:val="Текст примечания Знак1"/>
    <w:basedOn w:val="DefaultParagraphFont"/>
    <w:uiPriority w:val="99"/>
    <w:semiHidden/>
    <w:qFormat/>
    <w:rsid w:val="00b15e1c"/>
    <w:rPr>
      <w:rFonts w:eastAsia="Times New Roman"/>
    </w:rPr>
  </w:style>
  <w:style w:type="character" w:styleId="22" w:customStyle="1">
    <w:name w:val="Основной текст 2 Знак"/>
    <w:basedOn w:val="DefaultParagraphFont"/>
    <w:link w:val="22"/>
    <w:semiHidden/>
    <w:qFormat/>
    <w:rsid w:val="00b15e1c"/>
    <w:rPr>
      <w:rFonts w:ascii="Arial" w:hAnsi="Arial" w:eastAsia="Times New Roman" w:cs="Arial"/>
    </w:rPr>
  </w:style>
  <w:style w:type="character" w:styleId="211" w:customStyle="1">
    <w:name w:val="Основной текст 2 Знак1"/>
    <w:basedOn w:val="DefaultParagraphFont"/>
    <w:uiPriority w:val="99"/>
    <w:semiHidden/>
    <w:qFormat/>
    <w:rsid w:val="00b15e1c"/>
    <w:rPr>
      <w:rFonts w:eastAsia="Times New Roman"/>
      <w:sz w:val="22"/>
      <w:szCs w:val="22"/>
    </w:rPr>
  </w:style>
  <w:style w:type="character" w:styleId="32" w:customStyle="1">
    <w:name w:val="Основной текст 3 Знак"/>
    <w:basedOn w:val="DefaultParagraphFont"/>
    <w:link w:val="32"/>
    <w:semiHidden/>
    <w:qFormat/>
    <w:rsid w:val="00b15e1c"/>
    <w:rPr>
      <w:rFonts w:ascii="Arial" w:hAnsi="Arial" w:eastAsia="Times New Roman"/>
      <w:b/>
      <w:szCs w:val="24"/>
    </w:rPr>
  </w:style>
  <w:style w:type="character" w:styleId="311" w:customStyle="1">
    <w:name w:val="Основной текст 3 Знак1"/>
    <w:basedOn w:val="DefaultParagraphFont"/>
    <w:uiPriority w:val="99"/>
    <w:semiHidden/>
    <w:qFormat/>
    <w:rsid w:val="00b15e1c"/>
    <w:rPr>
      <w:rFonts w:eastAsia="Times New Roman"/>
      <w:sz w:val="16"/>
      <w:szCs w:val="16"/>
    </w:rPr>
  </w:style>
  <w:style w:type="character" w:styleId="Style19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5d5605"/>
    <w:rPr>
      <w:vertAlign w:val="superscript"/>
    </w:rPr>
  </w:style>
  <w:style w:type="character" w:styleId="15" w:customStyle="1">
    <w:name w:val="Основной текст Знак1"/>
    <w:basedOn w:val="DefaultParagraphFont"/>
    <w:uiPriority w:val="99"/>
    <w:semiHidden/>
    <w:qFormat/>
    <w:rsid w:val="003263c0"/>
    <w:rPr>
      <w:rFonts w:eastAsia="Times New Roman"/>
      <w:sz w:val="22"/>
      <w:szCs w:val="22"/>
    </w:rPr>
  </w:style>
  <w:style w:type="character" w:styleId="16" w:customStyle="1">
    <w:name w:val="Схема документа Знак1"/>
    <w:basedOn w:val="DefaultParagraphFont"/>
    <w:uiPriority w:val="99"/>
    <w:semiHidden/>
    <w:qFormat/>
    <w:rsid w:val="003263c0"/>
    <w:rPr>
      <w:rFonts w:ascii="Tahoma" w:hAnsi="Tahoma" w:eastAsia="Times New Roman" w:cs="Tahoma"/>
      <w:sz w:val="16"/>
      <w:szCs w:val="16"/>
    </w:rPr>
  </w:style>
  <w:style w:type="character" w:styleId="Style20">
    <w:name w:val="Символ сноски"/>
    <w:qFormat/>
    <w:rPr/>
  </w:style>
  <w:style w:type="character" w:styleId="Style21">
    <w:name w:val="Привязка концевой сноски"/>
    <w:rPr>
      <w:vertAlign w:val="superscript"/>
    </w:rPr>
  </w:style>
  <w:style w:type="character" w:styleId="Style22">
    <w:name w:val="Символ концевой сноски"/>
    <w:qFormat/>
    <w:rPr/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4">
    <w:name w:val="Body Text"/>
    <w:basedOn w:val="Normal"/>
    <w:link w:val="aa"/>
    <w:semiHidden/>
    <w:rsid w:val="00b15e1c"/>
    <w:pPr>
      <w:spacing w:lineRule="auto" w:line="240" w:before="0" w:after="0"/>
      <w:jc w:val="center"/>
    </w:pPr>
    <w:rPr>
      <w:rFonts w:ascii="Times New Roman" w:hAnsi="Times New Roman"/>
      <w:sz w:val="28"/>
      <w:szCs w:val="24"/>
    </w:rPr>
  </w:style>
  <w:style w:type="paragraph" w:styleId="Style25">
    <w:name w:val="List"/>
    <w:basedOn w:val="Style24"/>
    <w:pPr/>
    <w:rPr>
      <w:rFonts w:cs="Lucida Sans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Lucida Sans"/>
    </w:rPr>
  </w:style>
  <w:style w:type="paragraph" w:styleId="Style28">
    <w:name w:val="Верхний и нижний колонтитулы"/>
    <w:basedOn w:val="Normal"/>
    <w:qFormat/>
    <w:pPr/>
    <w:rPr/>
  </w:style>
  <w:style w:type="paragraph" w:styleId="Style29">
    <w:name w:val="Header"/>
    <w:basedOn w:val="Normal"/>
    <w:link w:val="a4"/>
    <w:uiPriority w:val="99"/>
    <w:unhideWhenUsed/>
    <w:rsid w:val="000d2c5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>
    <w:name w:val="Footer"/>
    <w:basedOn w:val="Normal"/>
    <w:link w:val="a6"/>
    <w:uiPriority w:val="99"/>
    <w:unhideWhenUsed/>
    <w:rsid w:val="000d2c5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995ede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15e1c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uiPriority w:val="99"/>
    <w:qFormat/>
    <w:rsid w:val="00b15e1c"/>
    <w:pPr>
      <w:widowControl w:val="fals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b15e1c"/>
    <w:pPr>
      <w:widowControl w:val="fals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ConsPlusNormal" w:customStyle="1">
    <w:name w:val="ConsPlusNormal"/>
    <w:qFormat/>
    <w:rsid w:val="00b15e1c"/>
    <w:pPr>
      <w:widowControl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basedOn w:val="Normal"/>
    <w:uiPriority w:val="99"/>
    <w:qFormat/>
    <w:rsid w:val="00b15e1c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ae"/>
    <w:uiPriority w:val="99"/>
    <w:qFormat/>
    <w:rsid w:val="00b15e1c"/>
    <w:pPr>
      <w:spacing w:lineRule="auto" w:line="240" w:beforeAutospacing="1" w:after="119"/>
    </w:pPr>
    <w:rPr>
      <w:rFonts w:ascii="Times New Roman" w:hAnsi="Times New Roman"/>
      <w:sz w:val="24"/>
      <w:szCs w:val="24"/>
    </w:rPr>
  </w:style>
  <w:style w:type="paragraph" w:styleId="17" w:customStyle="1">
    <w:name w:val="Стиль1"/>
    <w:basedOn w:val="Normal"/>
    <w:link w:val="11"/>
    <w:uiPriority w:val="99"/>
    <w:qFormat/>
    <w:rsid w:val="00b15e1c"/>
    <w:pPr>
      <w:spacing w:lineRule="auto" w:line="240" w:before="0" w:after="0"/>
      <w:ind w:firstLine="709"/>
      <w:jc w:val="both"/>
    </w:pPr>
    <w:rPr>
      <w:rFonts w:eastAsia="Calibri"/>
      <w:sz w:val="28"/>
      <w:szCs w:val="20"/>
    </w:rPr>
  </w:style>
  <w:style w:type="paragraph" w:styleId="DocumentMap">
    <w:name w:val="Document Map"/>
    <w:basedOn w:val="Normal"/>
    <w:link w:val="af"/>
    <w:uiPriority w:val="99"/>
    <w:semiHidden/>
    <w:qFormat/>
    <w:rsid w:val="00b15e1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31">
    <w:name w:val="Body Text Indent"/>
    <w:basedOn w:val="Normal"/>
    <w:link w:val="af3"/>
    <w:rsid w:val="00b15e1c"/>
    <w:pPr>
      <w:spacing w:lineRule="auto" w:line="240" w:before="0" w:after="120"/>
      <w:ind w:left="283" w:hanging="0"/>
    </w:pPr>
    <w:rPr>
      <w:rFonts w:ascii="Times New Roman" w:hAnsi="Times New Roman"/>
      <w:sz w:val="24"/>
      <w:szCs w:val="24"/>
    </w:rPr>
  </w:style>
  <w:style w:type="paragraph" w:styleId="Style32">
    <w:name w:val="Title"/>
    <w:basedOn w:val="Normal"/>
    <w:link w:val="af5"/>
    <w:qFormat/>
    <w:rsid w:val="00b15e1c"/>
    <w:pPr>
      <w:spacing w:lineRule="auto" w:line="240" w:before="0" w:after="0"/>
      <w:jc w:val="center"/>
    </w:pPr>
    <w:rPr>
      <w:rFonts w:ascii="Times New Roman" w:hAnsi="Times New Roman"/>
      <w:b/>
      <w:bCs/>
      <w:sz w:val="24"/>
      <w:szCs w:val="24"/>
    </w:rPr>
  </w:style>
  <w:style w:type="paragraph" w:styleId="Style33">
    <w:name w:val="Footnote Text"/>
    <w:basedOn w:val="Normal"/>
    <w:link w:val="af6"/>
    <w:semiHidden/>
    <w:rsid w:val="00b15e1c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Annotationtext">
    <w:name w:val="annotation text"/>
    <w:basedOn w:val="Normal"/>
    <w:link w:val="af8"/>
    <w:semiHidden/>
    <w:qFormat/>
    <w:rsid w:val="00b15e1c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21"/>
    <w:semiHidden/>
    <w:qFormat/>
    <w:rsid w:val="00b15e1c"/>
    <w:pPr>
      <w:spacing w:lineRule="auto" w:line="240" w:before="0" w:after="0"/>
    </w:pPr>
    <w:rPr>
      <w:rFonts w:ascii="Arial" w:hAnsi="Arial" w:cs="Arial"/>
      <w:sz w:val="20"/>
      <w:szCs w:val="20"/>
    </w:rPr>
  </w:style>
  <w:style w:type="paragraph" w:styleId="BodyText3">
    <w:name w:val="Body Text 3"/>
    <w:basedOn w:val="Normal"/>
    <w:link w:val="31"/>
    <w:semiHidden/>
    <w:qFormat/>
    <w:rsid w:val="00b15e1c"/>
    <w:pPr>
      <w:spacing w:lineRule="auto" w:line="240" w:before="0" w:after="0"/>
    </w:pPr>
    <w:rPr>
      <w:rFonts w:ascii="Arial" w:hAnsi="Arial"/>
      <w:b/>
      <w:sz w:val="20"/>
      <w:szCs w:val="24"/>
    </w:rPr>
  </w:style>
  <w:style w:type="paragraph" w:styleId="ConsPlusNonformat" w:customStyle="1">
    <w:name w:val="ConsPlusNonformat"/>
    <w:qFormat/>
    <w:rsid w:val="00b15e1c"/>
    <w:pPr>
      <w:widowControl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Style34" w:customStyle="1">
    <w:name w:val="Прижатый влево"/>
    <w:basedOn w:val="Normal"/>
    <w:next w:val="Normal"/>
    <w:uiPriority w:val="99"/>
    <w:qFormat/>
    <w:rsid w:val="00b15e1c"/>
    <w:pPr>
      <w:spacing w:lineRule="auto" w:line="240" w:before="0" w:after="0"/>
    </w:pPr>
    <w:rPr>
      <w:rFonts w:ascii="Arial" w:hAnsi="Arial" w:cs="Arial"/>
      <w:sz w:val="24"/>
      <w:szCs w:val="24"/>
    </w:rPr>
  </w:style>
  <w:style w:type="paragraph" w:styleId="Style35">
    <w:name w:val="Содержимое врезки"/>
    <w:basedOn w:val="Normal"/>
    <w:qFormat/>
    <w:pPr/>
    <w:rPr/>
  </w:style>
  <w:style w:type="paragraph" w:styleId="Style36">
    <w:name w:val="Название объекта"/>
    <w:basedOn w:val="Normal"/>
    <w:next w:val="Normal"/>
    <w:qFormat/>
    <w:pPr>
      <w:widowControl/>
      <w:jc w:val="center"/>
    </w:pPr>
    <w:rPr>
      <w:sz w:val="28"/>
      <w:szCs w:val="24"/>
    </w:rPr>
  </w:style>
  <w:style w:type="paragraph" w:styleId="Bodytext4">
    <w:name w:val="Body text (4)"/>
    <w:basedOn w:val="Normal"/>
    <w:qFormat/>
    <w:pPr>
      <w:shd w:val="clear" w:fill="FFFFFF"/>
      <w:spacing w:lineRule="auto" w:line="240" w:before="420" w:after="420"/>
      <w:jc w:val="both"/>
    </w:pPr>
    <w:rPr>
      <w:sz w:val="26"/>
      <w:szCs w:val="2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99"/>
    <w:rsid w:val="00557c75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image" Target="media/image1.wmf"/><Relationship Id="rId4" Type="http://schemas.openxmlformats.org/officeDocument/2006/relationships/image" Target="media/image2.wmf"/><Relationship Id="rId5" Type="http://schemas.openxmlformats.org/officeDocument/2006/relationships/image" Target="media/image3.wmf"/><Relationship Id="rId6" Type="http://schemas.openxmlformats.org/officeDocument/2006/relationships/image" Target="media/image4.wmf"/><Relationship Id="rId7" Type="http://schemas.openxmlformats.org/officeDocument/2006/relationships/image" Target="media/image5.wmf"/><Relationship Id="rId8" Type="http://schemas.openxmlformats.org/officeDocument/2006/relationships/image" Target="media/image6.wmf"/><Relationship Id="rId9" Type="http://schemas.openxmlformats.org/officeDocument/2006/relationships/image" Target="media/image7.wmf"/><Relationship Id="rId10" Type="http://schemas.openxmlformats.org/officeDocument/2006/relationships/image" Target="media/image8.wmf"/><Relationship Id="rId11" Type="http://schemas.openxmlformats.org/officeDocument/2006/relationships/image" Target="media/image9.wmf"/><Relationship Id="rId12" Type="http://schemas.openxmlformats.org/officeDocument/2006/relationships/image" Target="media/image10.wmf"/><Relationship Id="rId13" Type="http://schemas.openxmlformats.org/officeDocument/2006/relationships/image" Target="media/image11.wmf"/><Relationship Id="rId14" Type="http://schemas.openxmlformats.org/officeDocument/2006/relationships/image" Target="media/image12.wmf"/><Relationship Id="rId15" Type="http://schemas.openxmlformats.org/officeDocument/2006/relationships/header" Target="header2.xml"/><Relationship Id="rId16" Type="http://schemas.openxmlformats.org/officeDocument/2006/relationships/header" Target="header3.xml"/><Relationship Id="rId17" Type="http://schemas.openxmlformats.org/officeDocument/2006/relationships/image" Target="media/image13.wmf"/><Relationship Id="rId18" Type="http://schemas.openxmlformats.org/officeDocument/2006/relationships/image" Target="media/image14.wmf"/><Relationship Id="rId19" Type="http://schemas.openxmlformats.org/officeDocument/2006/relationships/image" Target="media/image15.wmf"/><Relationship Id="rId20" Type="http://schemas.openxmlformats.org/officeDocument/2006/relationships/image" Target="media/image16.wmf"/><Relationship Id="rId21" Type="http://schemas.openxmlformats.org/officeDocument/2006/relationships/image" Target="media/image17.wmf"/><Relationship Id="rId22" Type="http://schemas.openxmlformats.org/officeDocument/2006/relationships/image" Target="media/image18.wmf"/><Relationship Id="rId23" Type="http://schemas.openxmlformats.org/officeDocument/2006/relationships/image" Target="media/image19.wmf"/><Relationship Id="rId24" Type="http://schemas.openxmlformats.org/officeDocument/2006/relationships/image" Target="media/image20.wmf"/><Relationship Id="rId25" Type="http://schemas.openxmlformats.org/officeDocument/2006/relationships/image" Target="media/image21.wmf"/><Relationship Id="rId26" Type="http://schemas.openxmlformats.org/officeDocument/2006/relationships/header" Target="header4.xml"/><Relationship Id="rId27" Type="http://schemas.openxmlformats.org/officeDocument/2006/relationships/header" Target="header5.xml"/><Relationship Id="rId28" Type="http://schemas.openxmlformats.org/officeDocument/2006/relationships/header" Target="header6.xml"/><Relationship Id="rId29" Type="http://schemas.openxmlformats.org/officeDocument/2006/relationships/header" Target="header7.xml"/><Relationship Id="rId30" Type="http://schemas.openxmlformats.org/officeDocument/2006/relationships/header" Target="header8.xml"/><Relationship Id="rId31" Type="http://schemas.openxmlformats.org/officeDocument/2006/relationships/footnotes" Target="footnotes.xml"/><Relationship Id="rId32" Type="http://schemas.openxmlformats.org/officeDocument/2006/relationships/numbering" Target="numbering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<Relationship Id="rId3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E89FA-8112-41D5-A41E-407428288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LibreOffice/6.3.4.2$Windows_X86_64 LibreOffice_project/60da17e045e08f1793c57c00ba83cdfce946d0aa</Application>
  <Pages>34</Pages>
  <Words>5675</Words>
  <Characters>40874</Characters>
  <CharactersWithSpaces>47248</CharactersWithSpaces>
  <Paragraphs>738</Paragraphs>
  <Company>Министерство финансов Ульяновской области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2019-11-21T13:14:00Z</dcterms:created>
  <dc:creator>u506-9</dc:creator>
  <dc:description/>
  <dc:language>ru-RU</dc:language>
  <cp:lastModifiedBy/>
  <cp:lastPrinted>2019-03-28T12:32:00Z</cp:lastPrinted>
  <dcterms:modified xsi:type="dcterms:W3CDTF">2020-09-15T09:58:18Z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Министерство финансов Ульяновской области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