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CEE" w:rsidRPr="00181CEE" w:rsidRDefault="00181CEE" w:rsidP="00181CEE">
      <w:pPr>
        <w:tabs>
          <w:tab w:val="left" w:pos="1440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1CE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76275" cy="800100"/>
            <wp:effectExtent l="0" t="0" r="0" b="0"/>
            <wp:docPr id="3" name="Рисунок 3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CEE" w:rsidRPr="00181CEE" w:rsidRDefault="00181CEE" w:rsidP="00181C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181CEE" w:rsidRPr="00181CEE" w:rsidRDefault="00181CEE" w:rsidP="00181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181CE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АДМИНИСТРАЦИЯ КИРПИЛЬСКОГО СЕЛЬСКОГО </w:t>
      </w:r>
    </w:p>
    <w:p w:rsidR="00181CEE" w:rsidRPr="00181CEE" w:rsidRDefault="00181CEE" w:rsidP="00181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1CE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ПОСЕЛЕНИЯ УСТЬ-ЛАБИНСКОГО РАЙОНА</w:t>
      </w:r>
    </w:p>
    <w:p w:rsidR="00181CEE" w:rsidRPr="00181CEE" w:rsidRDefault="00181CEE" w:rsidP="00181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</w:pPr>
      <w:r w:rsidRPr="00181CEE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П О С Т А Н О В Л Е Н И Е</w:t>
      </w:r>
    </w:p>
    <w:p w:rsidR="00181CEE" w:rsidRPr="00181CEE" w:rsidRDefault="00181CEE" w:rsidP="00181C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1CEE" w:rsidRPr="00181CEE" w:rsidRDefault="00181CEE" w:rsidP="00181C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1CEE" w:rsidRPr="00181CEE" w:rsidRDefault="004E35A8" w:rsidP="00181C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05</w:t>
      </w:r>
      <w:r w:rsidR="00181CEE">
        <w:rPr>
          <w:rFonts w:ascii="Times New Roman" w:eastAsia="Times New Roman" w:hAnsi="Times New Roman" w:cs="Times New Roman"/>
          <w:color w:val="000000"/>
          <w:sz w:val="28"/>
          <w:szCs w:val="28"/>
        </w:rPr>
        <w:t>.03.2018 г.</w:t>
      </w:r>
      <w:r w:rsidR="00181CEE" w:rsidRPr="00181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="00181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181C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81C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81C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№ 32</w:t>
      </w:r>
    </w:p>
    <w:p w:rsidR="00181CEE" w:rsidRPr="00181CEE" w:rsidRDefault="00181CEE" w:rsidP="00181C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1CEE" w:rsidRDefault="00181CEE" w:rsidP="004E35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81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ст. </w:t>
      </w:r>
      <w:proofErr w:type="spellStart"/>
      <w:r w:rsidRPr="00181CEE">
        <w:rPr>
          <w:rFonts w:ascii="Times New Roman" w:eastAsia="Times New Roman" w:hAnsi="Times New Roman" w:cs="Times New Roman"/>
          <w:color w:val="000000"/>
          <w:sz w:val="28"/>
          <w:szCs w:val="28"/>
        </w:rPr>
        <w:t>Кирпильская</w:t>
      </w:r>
      <w:proofErr w:type="spellEnd"/>
    </w:p>
    <w:p w:rsidR="004E35A8" w:rsidRPr="004E35A8" w:rsidRDefault="004E35A8" w:rsidP="004E35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4765" w:rsidRPr="00181CEE" w:rsidRDefault="006E4765" w:rsidP="004E3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CEE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181CEE" w:rsidRPr="00181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CEE">
        <w:rPr>
          <w:rFonts w:ascii="Times New Roman" w:hAnsi="Times New Roman" w:cs="Times New Roman"/>
          <w:b/>
          <w:sz w:val="28"/>
          <w:szCs w:val="28"/>
        </w:rPr>
        <w:t>использов</w:t>
      </w:r>
      <w:r w:rsidR="00181CEE" w:rsidRPr="00181CEE">
        <w:rPr>
          <w:rFonts w:ascii="Times New Roman" w:hAnsi="Times New Roman" w:cs="Times New Roman"/>
          <w:b/>
          <w:sz w:val="28"/>
          <w:szCs w:val="28"/>
        </w:rPr>
        <w:t xml:space="preserve">ания открытого огня </w:t>
      </w:r>
      <w:r w:rsidRPr="00181CEE">
        <w:rPr>
          <w:rFonts w:ascii="Times New Roman" w:hAnsi="Times New Roman" w:cs="Times New Roman"/>
          <w:b/>
          <w:sz w:val="28"/>
          <w:szCs w:val="28"/>
        </w:rPr>
        <w:t xml:space="preserve">и разведения костров </w:t>
      </w:r>
      <w:r w:rsidR="00181CEE" w:rsidRPr="00181CEE">
        <w:rPr>
          <w:rFonts w:ascii="Times New Roman" w:hAnsi="Times New Roman" w:cs="Times New Roman"/>
          <w:b/>
          <w:sz w:val="28"/>
          <w:szCs w:val="28"/>
        </w:rPr>
        <w:t xml:space="preserve">на землях </w:t>
      </w:r>
      <w:r w:rsidRPr="00181CEE">
        <w:rPr>
          <w:rFonts w:ascii="Times New Roman" w:hAnsi="Times New Roman" w:cs="Times New Roman"/>
          <w:b/>
          <w:sz w:val="28"/>
          <w:szCs w:val="28"/>
        </w:rPr>
        <w:t>сельскохозяйственн</w:t>
      </w:r>
      <w:r w:rsidR="00181CEE" w:rsidRPr="00181CEE">
        <w:rPr>
          <w:rFonts w:ascii="Times New Roman" w:hAnsi="Times New Roman" w:cs="Times New Roman"/>
          <w:b/>
          <w:sz w:val="28"/>
          <w:szCs w:val="28"/>
        </w:rPr>
        <w:t>ого назначения и землях запаса</w:t>
      </w:r>
    </w:p>
    <w:p w:rsidR="006E4765" w:rsidRDefault="006E4765" w:rsidP="004E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765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пунктом 218 Правил противопожарного режима в Российской Федерации, утвержденных постановлением Правительства Российской Федерации от 25 апреля 2012 г.  № </w:t>
      </w:r>
      <w:proofErr w:type="gramStart"/>
      <w:r>
        <w:rPr>
          <w:rFonts w:ascii="Times New Roman" w:hAnsi="Times New Roman" w:cs="Times New Roman"/>
          <w:sz w:val="28"/>
          <w:szCs w:val="28"/>
        </w:rPr>
        <w:t>390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CEE">
        <w:rPr>
          <w:rFonts w:ascii="Times New Roman" w:hAnsi="Times New Roman" w:cs="Times New Roman"/>
          <w:sz w:val="28"/>
          <w:szCs w:val="28"/>
        </w:rPr>
        <w:t>п о с т а н о в л я ю: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E4765" w:rsidRDefault="006E4765" w:rsidP="004E35A8">
      <w:pPr>
        <w:pStyle w:val="a6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прилагаемый Порядок использования открытого огня и разведения костров на землях сельскохозяйственного назначения и землях запаса.</w:t>
      </w:r>
    </w:p>
    <w:p w:rsidR="00181CEE" w:rsidRDefault="00181CEE" w:rsidP="004E35A8">
      <w:pPr>
        <w:pStyle w:val="a6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Кирпильского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-Лабинского района (Павлова) </w:t>
      </w:r>
      <w:r w:rsidRPr="00181CEE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Pr="00181CE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181CEE">
        <w:rPr>
          <w:rFonts w:ascii="Times New Roman" w:hAnsi="Times New Roman" w:cs="Times New Roman"/>
          <w:sz w:val="28"/>
          <w:szCs w:val="28"/>
        </w:rPr>
        <w:t>Кирпильского</w:t>
      </w:r>
      <w:proofErr w:type="spellEnd"/>
      <w:r w:rsidRPr="00181CEE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-Лабинского района в сети «Интернет».</w:t>
      </w:r>
    </w:p>
    <w:p w:rsidR="00181CEE" w:rsidRDefault="00181CEE" w:rsidP="004E35A8">
      <w:pPr>
        <w:pStyle w:val="a6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Кирпильского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-Лабинского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М.Н.Гарнадерова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4765" w:rsidRPr="007C5F01" w:rsidRDefault="00181CEE" w:rsidP="004E35A8">
      <w:pPr>
        <w:pStyle w:val="a6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4765">
        <w:rPr>
          <w:rFonts w:ascii="Times New Roman" w:hAnsi="Times New Roman" w:cs="Times New Roman"/>
          <w:sz w:val="28"/>
          <w:szCs w:val="28"/>
        </w:rPr>
        <w:t>остановл</w:t>
      </w:r>
      <w:r>
        <w:rPr>
          <w:rFonts w:ascii="Times New Roman" w:hAnsi="Times New Roman" w:cs="Times New Roman"/>
          <w:sz w:val="28"/>
          <w:szCs w:val="28"/>
        </w:rPr>
        <w:t>ение вступает в силу со дня его</w:t>
      </w:r>
      <w:r w:rsidR="006E4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6E4765" w:rsidRDefault="006E4765" w:rsidP="004E35A8">
      <w:pPr>
        <w:spacing w:after="0" w:line="240" w:lineRule="auto"/>
        <w:rPr>
          <w:rFonts w:ascii="Times New Roman" w:hAnsi="Times New Roman" w:cs="Times New Roman"/>
        </w:rPr>
      </w:pPr>
    </w:p>
    <w:p w:rsidR="00181CEE" w:rsidRDefault="00181CEE" w:rsidP="004E35A8">
      <w:pPr>
        <w:spacing w:after="0" w:line="240" w:lineRule="auto"/>
        <w:rPr>
          <w:rFonts w:ascii="Times New Roman" w:hAnsi="Times New Roman" w:cs="Times New Roman"/>
        </w:rPr>
      </w:pPr>
    </w:p>
    <w:p w:rsidR="00181CEE" w:rsidRDefault="00181CEE" w:rsidP="004E35A8">
      <w:pPr>
        <w:spacing w:after="0" w:line="240" w:lineRule="auto"/>
        <w:rPr>
          <w:rFonts w:ascii="Times New Roman" w:hAnsi="Times New Roman" w:cs="Times New Roman"/>
        </w:rPr>
      </w:pPr>
    </w:p>
    <w:p w:rsidR="00181CEE" w:rsidRDefault="00181CEE" w:rsidP="004E35A8">
      <w:pPr>
        <w:spacing w:after="0" w:line="240" w:lineRule="auto"/>
        <w:rPr>
          <w:rFonts w:ascii="Times New Roman" w:hAnsi="Times New Roman" w:cs="Times New Roman"/>
        </w:rPr>
      </w:pPr>
    </w:p>
    <w:p w:rsidR="006E4765" w:rsidRDefault="006E4765" w:rsidP="004E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F01">
        <w:rPr>
          <w:rFonts w:ascii="Times New Roman" w:hAnsi="Times New Roman" w:cs="Times New Roman"/>
          <w:sz w:val="28"/>
          <w:szCs w:val="28"/>
        </w:rPr>
        <w:t>Глава</w:t>
      </w:r>
      <w:r w:rsidR="00181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CEE">
        <w:rPr>
          <w:rFonts w:ascii="Times New Roman" w:hAnsi="Times New Roman" w:cs="Times New Roman"/>
          <w:sz w:val="28"/>
          <w:szCs w:val="28"/>
        </w:rPr>
        <w:t>Кирпильского</w:t>
      </w:r>
      <w:proofErr w:type="spellEnd"/>
      <w:r w:rsidR="00181C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81CEE" w:rsidRPr="007C5F01" w:rsidRDefault="00181CEE" w:rsidP="004E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-Лабинского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С.А.Запорожский</w:t>
      </w:r>
      <w:proofErr w:type="spellEnd"/>
    </w:p>
    <w:p w:rsidR="006E4765" w:rsidRDefault="006E4765" w:rsidP="004E35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1CEE" w:rsidRDefault="00181CEE" w:rsidP="004E35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35A8" w:rsidRDefault="004E35A8" w:rsidP="004E35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35A8" w:rsidRDefault="004E35A8" w:rsidP="004E35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35A8" w:rsidRDefault="004E35A8" w:rsidP="004E35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35A8" w:rsidRDefault="004E35A8" w:rsidP="004E35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35A8" w:rsidRDefault="004E35A8" w:rsidP="004E35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35A8" w:rsidRDefault="004E35A8" w:rsidP="004E35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35A8" w:rsidRDefault="004E35A8" w:rsidP="004E35A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E35A8" w:rsidRDefault="004E35A8" w:rsidP="004E35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765" w:rsidRDefault="006E4765" w:rsidP="004E35A8">
      <w:pPr>
        <w:spacing w:after="0" w:line="240" w:lineRule="auto"/>
        <w:rPr>
          <w:rFonts w:ascii="Times New Roman" w:hAnsi="Times New Roman" w:cs="Times New Roman"/>
        </w:rPr>
      </w:pPr>
    </w:p>
    <w:p w:rsidR="00181CEE" w:rsidRDefault="00181CEE" w:rsidP="004E35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81CEE" w:rsidRDefault="00181CEE" w:rsidP="004E35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81CEE" w:rsidRDefault="00181CEE" w:rsidP="004E35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Кирпильского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81CEE" w:rsidRDefault="00181CEE" w:rsidP="004E35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-Лабинского района</w:t>
      </w:r>
    </w:p>
    <w:p w:rsidR="00181CEE" w:rsidRDefault="004E35A8" w:rsidP="004E35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</w:t>
      </w:r>
      <w:r w:rsidR="00181CEE">
        <w:rPr>
          <w:rFonts w:ascii="Times New Roman" w:hAnsi="Times New Roman" w:cs="Times New Roman"/>
          <w:sz w:val="28"/>
          <w:szCs w:val="28"/>
        </w:rPr>
        <w:t>.03.2018 года № 32</w:t>
      </w:r>
    </w:p>
    <w:p w:rsidR="004E35A8" w:rsidRPr="00181CEE" w:rsidRDefault="004E35A8" w:rsidP="004E35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765" w:rsidRDefault="006E4765" w:rsidP="004E3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CEE">
        <w:rPr>
          <w:rFonts w:ascii="Times New Roman" w:hAnsi="Times New Roman" w:cs="Times New Roman"/>
          <w:b/>
          <w:sz w:val="28"/>
          <w:szCs w:val="28"/>
        </w:rPr>
        <w:t>Порядок                                                                                                                                                      использования открытого огня и разведения костров на землях                                                            сельскохозяйствен</w:t>
      </w:r>
      <w:r w:rsidR="004E35A8">
        <w:rPr>
          <w:rFonts w:ascii="Times New Roman" w:hAnsi="Times New Roman" w:cs="Times New Roman"/>
          <w:b/>
          <w:sz w:val="28"/>
          <w:szCs w:val="28"/>
        </w:rPr>
        <w:t>ного назначения и землях запаса</w:t>
      </w:r>
    </w:p>
    <w:p w:rsidR="004E35A8" w:rsidRPr="00181CEE" w:rsidRDefault="004E35A8" w:rsidP="004E3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765" w:rsidRPr="00181CEE" w:rsidRDefault="006E4765" w:rsidP="004E35A8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Настоящий Порядок использования открытого огня и разведения костров на землях сельскохозяйственного назначения и землях запаса (далее –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и землях запаса (далее – использование открытого огня).</w:t>
      </w:r>
    </w:p>
    <w:p w:rsidR="006E4765" w:rsidRPr="00181CEE" w:rsidRDefault="006E4765" w:rsidP="004E35A8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6E4765" w:rsidRPr="00181CEE" w:rsidRDefault="006E4765" w:rsidP="004E35A8">
      <w:pPr>
        <w:pStyle w:val="a6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на 0,3 метра глубиной и не более 1 метра в диаметре или площадки с прочно установленной на ней металлической емкостью (</w:t>
      </w:r>
      <w:proofErr w:type="gramStart"/>
      <w:r w:rsidRPr="00181CE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81CEE">
        <w:rPr>
          <w:rFonts w:ascii="Times New Roman" w:hAnsi="Times New Roman" w:cs="Times New Roman"/>
          <w:sz w:val="28"/>
          <w:szCs w:val="28"/>
        </w:rPr>
        <w:t>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6E4765" w:rsidRPr="00181CEE" w:rsidRDefault="006E4765" w:rsidP="004E35A8">
      <w:pPr>
        <w:pStyle w:val="a6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б) место использования огня должно располагаться на расстоянии не менее 50 метров от ближайшего объекта (здания, сооружения, постройки, открытого склада, скирды), 100 метров – от хвойного леса или отдельно растущих хвойных деревьев и молодняка, 30 метров – от лиственного леса или отдельно растущих групп лиственных деревьев;</w:t>
      </w:r>
    </w:p>
    <w:p w:rsidR="006E4765" w:rsidRPr="00181CEE" w:rsidRDefault="006E4765" w:rsidP="004E35A8">
      <w:pPr>
        <w:pStyle w:val="a6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0,41 метра;</w:t>
      </w:r>
    </w:p>
    <w:p w:rsidR="006E4765" w:rsidRPr="00181CEE" w:rsidRDefault="006E4765" w:rsidP="004E35A8">
      <w:pPr>
        <w:pStyle w:val="a6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6E4765" w:rsidRPr="00181CEE" w:rsidRDefault="006E4765" w:rsidP="004E35A8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При использовании открытого огня в металлической емкости или емкости, выполненной из иных негорючих материалов.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</w:t>
      </w:r>
      <w:r w:rsidRPr="00181CEE">
        <w:rPr>
          <w:rFonts w:ascii="Times New Roman" w:hAnsi="Times New Roman" w:cs="Times New Roman"/>
          <w:sz w:val="28"/>
          <w:szCs w:val="28"/>
        </w:rPr>
        <w:lastRenderedPageBreak/>
        <w:t>уменьшены вдвое. При этом устройство противопожарной минерализованной полосы не требуется.</w:t>
      </w:r>
    </w:p>
    <w:p w:rsidR="006E4765" w:rsidRPr="00181CEE" w:rsidRDefault="006E4765" w:rsidP="004E35A8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В целях своевременной локализации процесса горения емкость.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6E4765" w:rsidRPr="00181CEE" w:rsidRDefault="006E4765" w:rsidP="004E35A8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емкостях (</w:t>
      </w:r>
      <w:proofErr w:type="gramStart"/>
      <w:r w:rsidRPr="00181CE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81CEE">
        <w:rPr>
          <w:rFonts w:ascii="Times New Roman" w:hAnsi="Times New Roman" w:cs="Times New Roman"/>
          <w:sz w:val="28"/>
          <w:szCs w:val="28"/>
        </w:rPr>
        <w:t>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– до 2 метров.</w:t>
      </w:r>
    </w:p>
    <w:p w:rsidR="006E4765" w:rsidRPr="00181CEE" w:rsidRDefault="006E4765" w:rsidP="004E35A8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В случаях выполнения работ по уничтожению сухой травянистой растительности, стерни, </w:t>
      </w:r>
      <w:proofErr w:type="spellStart"/>
      <w:r w:rsidRPr="00181CEE">
        <w:rPr>
          <w:rFonts w:ascii="Times New Roman" w:hAnsi="Times New Roman" w:cs="Times New Roman"/>
          <w:sz w:val="28"/>
          <w:szCs w:val="28"/>
        </w:rPr>
        <w:t>пожнивых</w:t>
      </w:r>
      <w:proofErr w:type="spellEnd"/>
      <w:r w:rsidRPr="00181CEE">
        <w:rPr>
          <w:rFonts w:ascii="Times New Roman" w:hAnsi="Times New Roman" w:cs="Times New Roman"/>
          <w:sz w:val="28"/>
          <w:szCs w:val="28"/>
        </w:rPr>
        <w:t xml:space="preserve"> остатков и иных горючих отходов, организации массовых мероприятий с использованием открытого огня допускается увеличить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6E4765" w:rsidRPr="00181CEE" w:rsidRDefault="006E4765" w:rsidP="004E35A8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 «Обучение мерам пожарной безопасности работников организации», утвержденными приказом МЧС России от 12.12.2007 №и 645 (зарегистрирован Минюстом России 21.01.2008, регистрационный № 10938).</w:t>
      </w:r>
    </w:p>
    <w:p w:rsidR="006E4765" w:rsidRPr="00181CEE" w:rsidRDefault="006E4765" w:rsidP="004E35A8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6E4765" w:rsidRPr="00181CEE" w:rsidRDefault="006E4765" w:rsidP="004E35A8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Использование открытого огня запрещается:</w:t>
      </w:r>
    </w:p>
    <w:p w:rsidR="006E4765" w:rsidRPr="00181CEE" w:rsidRDefault="006E4765" w:rsidP="004E35A8">
      <w:pPr>
        <w:pStyle w:val="a6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- на торфяных почвах;</w:t>
      </w:r>
    </w:p>
    <w:p w:rsidR="006E4765" w:rsidRPr="00181CEE" w:rsidRDefault="006E4765" w:rsidP="004E35A8">
      <w:pPr>
        <w:pStyle w:val="a6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- при установлении на соответствующей территории особого противопожарного режима;</w:t>
      </w:r>
    </w:p>
    <w:p w:rsidR="006E4765" w:rsidRPr="00181CEE" w:rsidRDefault="006E4765" w:rsidP="004E35A8">
      <w:pPr>
        <w:pStyle w:val="a6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- при поступившей информации о приближающихся неблагоприятных или</w:t>
      </w:r>
      <w:r w:rsidR="00181CEE">
        <w:rPr>
          <w:rFonts w:ascii="Times New Roman" w:hAnsi="Times New Roman" w:cs="Times New Roman"/>
          <w:sz w:val="28"/>
          <w:szCs w:val="28"/>
        </w:rPr>
        <w:t xml:space="preserve"> опасных для жизнедеятельности </w:t>
      </w:r>
      <w:r w:rsidRPr="00181CEE">
        <w:rPr>
          <w:rFonts w:ascii="Times New Roman" w:hAnsi="Times New Roman" w:cs="Times New Roman"/>
          <w:sz w:val="28"/>
          <w:szCs w:val="28"/>
        </w:rPr>
        <w:t>людей метеорологических последствиях, связанных с сильными порывами ветра;</w:t>
      </w:r>
    </w:p>
    <w:p w:rsidR="006E4765" w:rsidRPr="00181CEE" w:rsidRDefault="006E4765" w:rsidP="004E35A8">
      <w:pPr>
        <w:pStyle w:val="a6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- под кронами хвойных пород;</w:t>
      </w:r>
    </w:p>
    <w:p w:rsidR="006E4765" w:rsidRPr="00181CEE" w:rsidRDefault="006E4765" w:rsidP="004E35A8">
      <w:pPr>
        <w:pStyle w:val="a6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- в емкости, стенки которой имеют огненный сквозной прогар;</w:t>
      </w:r>
    </w:p>
    <w:p w:rsidR="006E4765" w:rsidRPr="00181CEE" w:rsidRDefault="006E4765" w:rsidP="004E35A8">
      <w:pPr>
        <w:pStyle w:val="a6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- при скорости ветра, превышающей значение 5 метров в секунду, если открытый огонь используется без металлической емкости или емкости, </w:t>
      </w:r>
      <w:r w:rsidRPr="00181CEE">
        <w:rPr>
          <w:rFonts w:ascii="Times New Roman" w:hAnsi="Times New Roman" w:cs="Times New Roman"/>
          <w:sz w:val="28"/>
          <w:szCs w:val="28"/>
        </w:rPr>
        <w:lastRenderedPageBreak/>
        <w:t>выполненной из иных негорючих материалов, исключающей распространение пламени и выпалов за пределы очага горения;</w:t>
      </w:r>
    </w:p>
    <w:p w:rsidR="006E4765" w:rsidRPr="00181CEE" w:rsidRDefault="006E4765" w:rsidP="004E35A8">
      <w:pPr>
        <w:pStyle w:val="a6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- при скорости ветра, превышающей значение 10 метров в секунду.</w:t>
      </w:r>
    </w:p>
    <w:p w:rsidR="006E4765" w:rsidRPr="00181CEE" w:rsidRDefault="006E4765" w:rsidP="004E35A8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В процессе использования открытого огня запрещается:</w:t>
      </w:r>
    </w:p>
    <w:p w:rsidR="006E4765" w:rsidRPr="00181CEE" w:rsidRDefault="006E4765" w:rsidP="004E35A8">
      <w:pPr>
        <w:pStyle w:val="a6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6E4765" w:rsidRPr="00181CEE" w:rsidRDefault="006E4765" w:rsidP="004E35A8">
      <w:pPr>
        <w:pStyle w:val="a6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- оставлять место очага горения без присмотра до полного прекращения горения (тления);</w:t>
      </w:r>
    </w:p>
    <w:p w:rsidR="006E4765" w:rsidRPr="00181CEE" w:rsidRDefault="006E4765" w:rsidP="004E35A8">
      <w:pPr>
        <w:pStyle w:val="a6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- располагать легковоспламеняющиеся и горючие жидкости, а также горючие материалы вблизи очага горения.</w:t>
      </w:r>
    </w:p>
    <w:p w:rsidR="006E4765" w:rsidRPr="00181CEE" w:rsidRDefault="006E4765" w:rsidP="004E35A8">
      <w:pPr>
        <w:pStyle w:val="a6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После использования открытого огня место очага горения должно быть засыпано землей, песк</w:t>
      </w:r>
      <w:r w:rsidR="00181CEE">
        <w:rPr>
          <w:rFonts w:ascii="Times New Roman" w:hAnsi="Times New Roman" w:cs="Times New Roman"/>
          <w:sz w:val="28"/>
          <w:szCs w:val="28"/>
        </w:rPr>
        <w:t xml:space="preserve">ом или залито водой до полного </w:t>
      </w:r>
      <w:r w:rsidRPr="00181CEE">
        <w:rPr>
          <w:rFonts w:ascii="Times New Roman" w:hAnsi="Times New Roman" w:cs="Times New Roman"/>
          <w:sz w:val="28"/>
          <w:szCs w:val="28"/>
        </w:rPr>
        <w:t>прекращения горения (тления).</w:t>
      </w:r>
    </w:p>
    <w:p w:rsidR="006E4765" w:rsidRPr="00181CEE" w:rsidRDefault="006E4765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765" w:rsidRPr="00181CEE" w:rsidRDefault="006E4765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765" w:rsidRPr="00181CEE" w:rsidRDefault="006E4765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765" w:rsidRDefault="006E4765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EE" w:rsidRDefault="00181CEE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EE" w:rsidRDefault="00181CEE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EE" w:rsidRDefault="00181CEE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EE" w:rsidRDefault="00181CEE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EE" w:rsidRDefault="00181CEE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EE" w:rsidRDefault="00181CEE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EE" w:rsidRDefault="00181CEE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EE" w:rsidRDefault="00181CEE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CEE" w:rsidRDefault="00181CEE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5A8" w:rsidRDefault="004E35A8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5A8" w:rsidRDefault="004E35A8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5A8" w:rsidRDefault="004E35A8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5A8" w:rsidRDefault="004E35A8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5A8" w:rsidRDefault="004E35A8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5A8" w:rsidRDefault="004E35A8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5A8" w:rsidRDefault="004E35A8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5A8" w:rsidRDefault="004E35A8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5A8" w:rsidRDefault="004E35A8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5A8" w:rsidRDefault="004E35A8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5A8" w:rsidRDefault="004E35A8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5A8" w:rsidRDefault="004E35A8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5A8" w:rsidRDefault="004E35A8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5A8" w:rsidRDefault="004E35A8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5A8" w:rsidRPr="00181CEE" w:rsidRDefault="004E35A8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765" w:rsidRPr="00181CEE" w:rsidRDefault="006E4765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765" w:rsidRPr="00181CEE" w:rsidRDefault="006E4765" w:rsidP="004E35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lastRenderedPageBreak/>
        <w:t>Приложение 1                                                                                                                                                                     к Порядку  использования                                                                                                                                открытого огня и разведения костров                                                                                                                                         на землях сельскохозяйственного назначения                                                                                                                   и землях запаса.</w:t>
      </w:r>
    </w:p>
    <w:p w:rsidR="006E4765" w:rsidRPr="00181CEE" w:rsidRDefault="006E4765" w:rsidP="004E35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765" w:rsidRPr="00181CEE" w:rsidRDefault="006E4765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765" w:rsidRPr="00181CEE" w:rsidRDefault="006E4765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87"/>
        <w:gridCol w:w="709"/>
        <w:gridCol w:w="709"/>
        <w:gridCol w:w="708"/>
        <w:gridCol w:w="709"/>
        <w:gridCol w:w="674"/>
      </w:tblGrid>
      <w:tr w:rsidR="006E4765" w:rsidRPr="00181CEE" w:rsidTr="005B1AC5">
        <w:trPr>
          <w:trHeight w:val="655"/>
        </w:trPr>
        <w:tc>
          <w:tcPr>
            <w:tcW w:w="6487" w:type="dxa"/>
          </w:tcPr>
          <w:p w:rsidR="006E4765" w:rsidRPr="00181CEE" w:rsidRDefault="006E4765" w:rsidP="004E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CEE">
              <w:rPr>
                <w:rFonts w:ascii="Times New Roman" w:hAnsi="Times New Roman" w:cs="Times New Roman"/>
                <w:sz w:val="28"/>
                <w:szCs w:val="28"/>
              </w:rPr>
              <w:t>Высота точки размещения горючих материалов в месте использования открытого огня над уровнем земли, м</w:t>
            </w:r>
          </w:p>
          <w:p w:rsidR="006E4765" w:rsidRPr="00181CEE" w:rsidRDefault="006E4765" w:rsidP="004E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765" w:rsidRPr="00181CEE" w:rsidRDefault="006E4765" w:rsidP="004E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765" w:rsidRPr="00181CEE" w:rsidRDefault="006E4765" w:rsidP="004E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4765" w:rsidRPr="00181CEE" w:rsidRDefault="006E4765" w:rsidP="004E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E4765" w:rsidRPr="00181CEE" w:rsidRDefault="006E4765" w:rsidP="004E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E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08" w:type="dxa"/>
          </w:tcPr>
          <w:p w:rsidR="006E4765" w:rsidRPr="00181CEE" w:rsidRDefault="006E4765" w:rsidP="004E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E4765" w:rsidRPr="00181CEE" w:rsidRDefault="006E4765" w:rsidP="004E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EE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674" w:type="dxa"/>
          </w:tcPr>
          <w:p w:rsidR="006E4765" w:rsidRPr="00181CEE" w:rsidRDefault="006E4765" w:rsidP="004E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4765" w:rsidRPr="00181CEE" w:rsidTr="005B1AC5">
        <w:tc>
          <w:tcPr>
            <w:tcW w:w="6487" w:type="dxa"/>
          </w:tcPr>
          <w:p w:rsidR="006E4765" w:rsidRPr="00181CEE" w:rsidRDefault="006E4765" w:rsidP="004E3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CEE">
              <w:rPr>
                <w:rFonts w:ascii="Times New Roman" w:hAnsi="Times New Roman" w:cs="Times New Roman"/>
                <w:sz w:val="28"/>
                <w:szCs w:val="28"/>
              </w:rPr>
              <w:t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м</w:t>
            </w:r>
          </w:p>
          <w:p w:rsidR="006E4765" w:rsidRPr="00181CEE" w:rsidRDefault="006E4765" w:rsidP="004E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765" w:rsidRPr="00181CEE" w:rsidRDefault="006E4765" w:rsidP="004E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765" w:rsidRPr="00181CEE" w:rsidRDefault="006E4765" w:rsidP="004E3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E4765" w:rsidRPr="00181CEE" w:rsidRDefault="006E4765" w:rsidP="004E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E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6E4765" w:rsidRPr="00181CEE" w:rsidRDefault="006E4765" w:rsidP="004E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6E4765" w:rsidRPr="00181CEE" w:rsidRDefault="006E4765" w:rsidP="004E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E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6E4765" w:rsidRPr="00181CEE" w:rsidRDefault="006E4765" w:rsidP="004E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E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74" w:type="dxa"/>
          </w:tcPr>
          <w:p w:rsidR="006E4765" w:rsidRPr="00181CEE" w:rsidRDefault="006E4765" w:rsidP="004E3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C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6E4765" w:rsidRPr="00181CEE" w:rsidRDefault="006E4765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765" w:rsidRPr="00181CEE" w:rsidRDefault="006E4765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765" w:rsidRPr="00181CEE" w:rsidRDefault="006E4765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765" w:rsidRPr="00181CEE" w:rsidRDefault="006E4765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765" w:rsidRPr="00181CEE" w:rsidRDefault="006E4765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765" w:rsidRPr="00181CEE" w:rsidRDefault="006E4765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765" w:rsidRPr="00181CEE" w:rsidRDefault="006E4765" w:rsidP="004E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765" w:rsidRDefault="006E4765" w:rsidP="004E35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765" w:rsidRDefault="006E4765" w:rsidP="004E35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765" w:rsidRDefault="006E4765" w:rsidP="004E35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765" w:rsidRDefault="006E4765" w:rsidP="004E35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765" w:rsidRDefault="006E4765" w:rsidP="004E35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765" w:rsidRDefault="006E4765" w:rsidP="006E47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765" w:rsidRDefault="006E4765" w:rsidP="006E47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765" w:rsidRDefault="006E4765" w:rsidP="006E47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765" w:rsidRDefault="006E4765" w:rsidP="006E47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765" w:rsidRDefault="006E4765" w:rsidP="006E47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765" w:rsidRDefault="006E4765" w:rsidP="006E47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765" w:rsidRDefault="006E4765" w:rsidP="006E47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765" w:rsidRDefault="006E4765" w:rsidP="006E47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765" w:rsidRDefault="006E4765" w:rsidP="006E47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765" w:rsidRDefault="006E4765" w:rsidP="006E47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765" w:rsidRDefault="006E4765" w:rsidP="006E47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765" w:rsidRDefault="006E4765" w:rsidP="006E47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765" w:rsidRDefault="006E4765" w:rsidP="006E47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765" w:rsidRDefault="006E4765" w:rsidP="006E47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765" w:rsidRDefault="006E4765" w:rsidP="006E47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4765" w:rsidRPr="00181CEE" w:rsidRDefault="006E4765" w:rsidP="00181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765" w:rsidRPr="00181CEE" w:rsidRDefault="006E4765" w:rsidP="0018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                                                                                                                     ПО ПРОВЕДЕНИЮ ВЫЖИГАНИЯ СУХОЙ ТРАВЯНИСТОЙ РАСТИТЕЛЬНОСТИ</w:t>
      </w:r>
    </w:p>
    <w:p w:rsidR="006E4765" w:rsidRPr="00181CEE" w:rsidRDefault="006E4765" w:rsidP="00181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765" w:rsidRPr="00181CEE" w:rsidRDefault="006E4765" w:rsidP="00181CEE">
      <w:pPr>
        <w:pStyle w:val="a6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E4765" w:rsidRPr="00181CEE" w:rsidRDefault="006E4765" w:rsidP="006E4765">
      <w:pPr>
        <w:pStyle w:val="a6"/>
        <w:spacing w:after="0" w:line="240" w:lineRule="auto"/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1. Методические рекомендации по проведению выжигания сухой травянистой растительности (далее - рекомендации) разработаны во исполнение поручений Президента Российской Федерации от 11 апреля 2013 г. № Пр-1037 и поручений Правительства Российской Федерации от 21 мая 2013 г. № АД-П9-3351 и направлены на исключение возможности перехода огня на лесные насаждения, торфяники, населённые пункты и объекты инфраструктуры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2. Настоящие рекомендации определяют основные меры пожарной безопасности при организации и осуществлении выжиганий сухой травянистой растительности (далее - профилактические выжигания) и направлены на создание условий обеспечения пожарной безопасности при проведении данного вида пожароопасных работ на земельных участках, не отнесённых в соответствии с законодательством Российской Федерации к землям лесного фонда.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 3. Рекомендации предназначены для широкого круга лиц, осуществляющих профилактические выжигания сухой травянистой растительности.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 4. Целью проведения профилактических выжиганий является создание защитных полос, которые оказывают сдерживающее влияние на возникновение и распространение пожаров, предотвращение возникновения пожаров от палов сухой травы.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                                            II. Порядок и организация проведения работ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5. Выжигание сухой травянистой растительности, а также растительных остатков на земельных участках допускается в исключительных случаях, когда для обеспечения пожарной безопасности населённых пунктов, а также иных объектов инфраструктуры требуется очистка земельного участка от сухой травянистой растительности или её остатков, при отсутствии других доступных способов очистки земель.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6. Мероприятия по проведению профилактических контролируемых выжиганий осуществляются организацией, имеющей лицензию на осуществление деятельности по тушению пожаров в населённых пунктах, на производственных объектах и объектах инфраструктуры или по тушению лесных пожаров, добровольной пожарной охраной.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7. На проведение работ оформляется соответствующий наряд-допуск по форме, предусмотренной приложением № 4 Правил противопожарного режима в Российской Федерации, утверждённых постановлением Правительства Российской Федерации от 25 апреля 2012 г. № 390.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lastRenderedPageBreak/>
        <w:t xml:space="preserve"> 8. Обязательно предварительное согласование указанных работ с подразделением пожарной охраны, органами государственного экологического надзора соответствующего субъекта Российской Федерации, органами, осуществляющими федеральный государственный надзор, охрану и регулирования использования объектов животного мира и среды их обитания, региональными диспетчерскими службами лесного хозяйства, а также органом местного самоуправления.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9. Руководитель организации, производящей профилактическое выжигание, обеспечивает в процессе проведения работ исправное 3 техническое состояние пожарных автомобилей, иной техники, а также средств тушения пожара.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10. Работники, производящие выжигание, допускаются к работам только после прохождения обучения мерам пожарной безопасности и прохождения противопожарного инструктажа.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11. Организация работ должна обеспечивать непрерывный осмотр пройденной огнём площади участка с целью предотвратить его распространение. Работу следует проводить группой рабочих численностью не менее, установленной в пункте 21 настоящих рекомендаций.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12. С началом работ обеспечивается присутствие уполномоченных представителей собственника или пользователя земельного участка, где производится выжигание растительности, в течение всего времени проведения работ.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13. После завершения отжига ведётся контрольный обход участка по внешней его границе с целью выявления и тушения оставшихся очагов горения. Особое внимание при обходе должно быть уделено границе выжигания с подветренной стороны.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 14. О завершении работ извещается территориальное подразделение Государственной противопожарной службы и соответствующий орган местного самоуправления.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15. По окончании работ наряд-допуск закрывается в установленном порядке.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765" w:rsidRPr="00181CEE" w:rsidRDefault="006E4765" w:rsidP="004E35A8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Требования к проведению работ </w:t>
      </w:r>
    </w:p>
    <w:p w:rsidR="006E4765" w:rsidRPr="00181CEE" w:rsidRDefault="006E4765" w:rsidP="004E35A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16. Органы государственной власти, органы местного самоуправления, а также физические и юридические лица, которыми осуществляется пользование земельными участками, не вправе допускать выжигания сухой травянистой растительности, кроме случаев, предусмотренных пунктом 5 настоящих рекомендаций. 17.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Профилактические выжигания проводятся в равнинных условиях, и только в границах противопожарных барьеров, в качестве которых могут использоваться защитные минерализованные полосы или естественные преграды, в качестве которых могут выступать дороги, ручьи, реки, просеки.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18. Работы ведутся в безветренную погоду до наступления пожароопасного сезона или сразу после его окончания.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lastRenderedPageBreak/>
        <w:t xml:space="preserve">19. Перечень технических средств и снаряжения, используемых при проведении профилактических выжиганий, включает: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- основную пожарную либо приспособленную технику;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- землеройную технику;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- индивидуальные ручные средства, используемые для зажигания;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- средства связи;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- средства для создания преград распространению огня и для его тушения в случае угрозы выхода профилактического выжигания из-под контроля;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- другие виды пожарной техники, средств тушения пожара, оборудования, пожарного снаряжения, возможные для использования в соответствии с местными условиями.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20. Участок земли, на котором запланировано выжигание сухой травянистой растительности, делится на блоки. Площадь блока не должна превышать 0,5 га.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21. Основными условием проведения профилактических выжиганий являются: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 - наличие по всем сторонам каждого блока непрерывных противопожарных барьеров шириной не менее 2 метров;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- участок для выжигания располагается на расстоянии не ближе 50 метров от ближайшего объекта защиты (здания, сооружения, открытой установки, ограждений, забора и пр.) либо лиственного леса и или отдельно растущих лиственных деревьев, 100 метров - от хвойного леса или отдельно растущих хвойных деревьев;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- территория вокруг участка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материалов;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- относительная влажность воздуха более 50%, температура воздуха составляет 15-20°С, средняя скорость ветра не превышает 2 м/с;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- достаточная численность работников бригад организации, осуществляющей выжигание (не менее 5 человек на каждый блок, подвергаемый выжиганию);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- члены бригады обеспечены необходимым количеством средств пожаротушения, пожарной, землеройной и вспомогательной техникой.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22. Профилактические выжигания запрещаются: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- при действии на соответствующей территории особого противопожарного режима; - при наличии на земельном участке лесных насаждений;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 xml:space="preserve">- при нахождении вблизи участка сжигания объектов защиты, торфяников, а также лесных насаждений из хвойных пород или с их участием не менее 20%, а также хвойных молодняков; </w:t>
      </w:r>
    </w:p>
    <w:p w:rsidR="006E4765" w:rsidRPr="00181CEE" w:rsidRDefault="006E4765" w:rsidP="004E3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CEE">
        <w:rPr>
          <w:rFonts w:ascii="Times New Roman" w:hAnsi="Times New Roman" w:cs="Times New Roman"/>
          <w:sz w:val="28"/>
          <w:szCs w:val="28"/>
        </w:rPr>
        <w:t>- на торфяных и других почвах способных к длительному горению.</w:t>
      </w:r>
    </w:p>
    <w:p w:rsidR="00CF6277" w:rsidRPr="00181CEE" w:rsidRDefault="00CF6277" w:rsidP="006E4765">
      <w:pPr>
        <w:rPr>
          <w:rFonts w:ascii="Times New Roman" w:hAnsi="Times New Roman" w:cs="Times New Roman"/>
          <w:sz w:val="28"/>
          <w:szCs w:val="28"/>
        </w:rPr>
      </w:pPr>
    </w:p>
    <w:sectPr w:rsidR="00CF6277" w:rsidRPr="00181CEE" w:rsidSect="00F450DE">
      <w:pgSz w:w="11906" w:h="16838"/>
      <w:pgMar w:top="1134" w:right="850" w:bottom="1134" w:left="1276" w:header="5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F1439"/>
    <w:multiLevelType w:val="hybridMultilevel"/>
    <w:tmpl w:val="8748644C"/>
    <w:lvl w:ilvl="0" w:tplc="3A8C727C">
      <w:start w:val="1"/>
      <w:numFmt w:val="upperRoman"/>
      <w:lvlText w:val="%1."/>
      <w:lvlJc w:val="left"/>
      <w:pPr>
        <w:ind w:left="48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" w15:restartNumberingAfterBreak="0">
    <w:nsid w:val="25195E3E"/>
    <w:multiLevelType w:val="hybridMultilevel"/>
    <w:tmpl w:val="05D6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90D9E"/>
    <w:multiLevelType w:val="hybridMultilevel"/>
    <w:tmpl w:val="96B29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765"/>
    <w:rsid w:val="00181CEE"/>
    <w:rsid w:val="004E35A8"/>
    <w:rsid w:val="005A4726"/>
    <w:rsid w:val="006E4765"/>
    <w:rsid w:val="00C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7FAC"/>
  <w15:docId w15:val="{2F2A09C0-A965-4317-ACFD-3590EA85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р. &lt;№&gt; из &lt;всего&gt;"/>
    <w:rsid w:val="006E4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здано"/>
    <w:rsid w:val="006E4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аголовок 2"/>
    <w:basedOn w:val="a"/>
    <w:next w:val="a"/>
    <w:rsid w:val="006E4765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table" w:styleId="a5">
    <w:name w:val="Table Grid"/>
    <w:basedOn w:val="a1"/>
    <w:uiPriority w:val="59"/>
    <w:rsid w:val="006E47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E4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Галина Павлова</cp:lastModifiedBy>
  <cp:revision>4</cp:revision>
  <dcterms:created xsi:type="dcterms:W3CDTF">2016-04-28T21:01:00Z</dcterms:created>
  <dcterms:modified xsi:type="dcterms:W3CDTF">2018-03-14T19:28:00Z</dcterms:modified>
</cp:coreProperties>
</file>